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ASTS</w:t>
      </w:r>
      <w:r>
        <w:rPr>
          <w:rFonts w:ascii="Calibri" w:hAnsi="Calibri"/>
          <w:b/>
          <w:color w:val="1A2010"/>
          <w:sz w:val="40"/>
        </w:rPr>
        <w:t xml:space="preserve">  AST SpaceMobile, Inc.</w:t>
      </w:r>
    </w:p>
    <w:p>
      <w:pPr>
        <w:spacing w:after="120"/>
      </w:pPr>
      <w:r>
        <w:rPr>
          <w:rFonts w:ascii="Calibri" w:hAnsi="Calibri"/>
          <w:b/>
          <w:color w:val="6E8450"/>
          <w:sz w:val="18"/>
        </w:rPr>
        <w:t>GROWTH SLEEVE · 2026-10-03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NMS · United States</w:t>
      </w:r>
    </w:p>
    <w:p>
      <w:pPr>
        <w:spacing w:after="80"/>
      </w:pPr>
      <w:r>
        <w:rPr>
          <w:rFonts w:ascii="Calibri" w:hAnsi="Calibri"/>
          <w:b w:val="0"/>
          <w:color w:val="3A4A28"/>
          <w:sz w:val="20"/>
        </w:rPr>
        <w:t>AST SpaceMobile is building a space-based cellular broadband network of BlueBird satellites that connect directly to standard mobile phones, partnering with mobile network operators and U.S. Government customers. Q2 2026 revenue was $31.5M, more than double Q1, with full-year 2026 guidance of $150M-$200M and about $1.3B of contracted revenue [1].</w:t>
      </w:r>
    </w:p>
    <w:p>
      <w:r>
        <w:rPr>
          <w:rFonts w:ascii="Calibri" w:hAnsi="Calibri"/>
          <w:b/>
          <w:color w:val="6E8450"/>
          <w:sz w:val="18"/>
        </w:rPr>
        <w:t>https://ast-science.com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BlueBird satellites deployed in orbit opened a new direct-to-cell revenue stream, with Q2 2026 revenue of $31.5M from commercial and government customers [1]. AI Deployment (0/2): No AI products or savings evident. Market Share (1/2): First-mover with MNO partners, but Scotiabank (Jan 2026 downgrade) cites significant competition from SpaceX Starlink and slow adoption [3]. Pipeline (1/2): Further satellite launches and three new U.S. Government awards with over $100M of funded near-term value exist, but dated launch cadence has slipped [1][3]. R&amp;D (1/1): Engineering spend is extremely high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The goal of eliminating connectivity gaps for everyone with a standard phone is specific and purpose-driven, backed by the founder's 25-year career in satellite ventures [2]. Community (0/2): No quantified community programs found. Retention (0/2): No tenure data found; employee reviews describe disorganization and compensation concerns [2]. Insider Buying (1/2): Founder-CEO Abel Avellan holds over 20% of equity and 71% of votes, takes no cash salary, and forfeited award portions for missed milestones, signaling alignment although no open-market buying was found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PEG unavailable. D/E of 124.9% scores 0.76; ROE of -45.6% (2x weight) and negative forward P/E of -45.4 and a margin at or below zero all score 0. Revenue growth is far above target (score 1.0) and the 5-year revenue CAGR from a tiny base is strongly positive (1.0, 2x weight) [1]. Weighted 3.76 of 8 = 4.7, scored 5. Daily dollar volume near $706M gives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ASTS has a genuine, founder-driven cause to connect every phone everywhere, and the CEO's equity-only pay and forfeitures show real skin in the game. As a young single-bet company with slipping timelines, a securities class action, and mixed internal culture, it has not yet earned infinite-game credit on flexibility or rivalry.</w:t>
      </w:r>
    </w:p>
    <w:p>
      <w:pPr>
        <w:spacing w:before="200" w:after="40"/>
      </w:pPr>
      <w:r>
        <w:rPr>
          <w:rFonts w:ascii="Calibri" w:hAnsi="Calibri"/>
          <w:b/>
          <w:color w:val="1A2010"/>
          <w:sz w:val="22"/>
        </w:rPr>
        <w:t>Just Cause</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Connecting unserved people through standard phones is a distinctive, idealistic cause that the founder has pursued for decades, but it has not yet been tested through crisis or a leadership transition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 founder-led startup culture with fast pace and opportunity is offset by employee reports of disorganization and rough work-life balance; adequate but unexceptional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Research did not show learning-oriented competitive framing toward Starlink; competition is framed around beating rivals in direct-to-cell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a single-bet entity that has not faced or executed a strategic pivot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Avellan takes no cash compensation and forfeited equity awards in 2025 and 2026 for missing satellite deployment targets, and the company keeps investing heavily in constellation build-out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AST SpaceMobile at $58.45 (market cap about $17.5B) is the leading pre-scale direct-to-cell player, with Q2 2026 revenue of $31.5M more than doubling Q1, full-year guidance of $150M-$200M, and about $1.3B in contracted revenue plus three new U.S. Government awards with over $100M of funded value in 2026-2027. Founder alignment is strong, with Avellan owning more than 20% and taking no cash pay [1][2].</w:t>
      </w:r>
    </w:p>
    <w:p>
      <w:pPr>
        <w:spacing w:after="120"/>
      </w:pPr>
      <w:r>
        <w:rPr>
          <w:rFonts w:ascii="Calibri" w:hAnsi="Calibri"/>
          <w:b w:val="0"/>
          <w:color w:val="3A4A28"/>
          <w:sz w:val="20"/>
        </w:rPr>
        <w:t>The bear case is execution and financing. ROE is -45.6%, D/E is 124.9%, and forward earnings are negative, so growth must be externally funded while satellites slip. A securities class action (class period March 2025 to July 2026; lead-plaintiff deadline November 13, 2026) alleges overstated liquidity, durability of competitive position, and slow U.S. and Japan adoption, and Scotiabank's January 2026 sell cites Starlink competition and delays. At 17.5B in market cap versus roughly $85M TTM revenue, the stock prices in flawless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Sequential quarterly revenue growth toward the $150M-$200M 2026 guide, supported by additional U.S. Government awards [1]</w:t>
      </w:r>
    </w:p>
    <w:p>
      <w:pPr>
        <w:spacing w:before="40" w:after="40"/>
        <w:ind w:left="283"/>
      </w:pPr>
      <w:r>
        <w:rPr>
          <w:rFonts w:ascii="Calibri" w:hAnsi="Calibri"/>
          <w:b/>
          <w:color w:val="4A6B25"/>
          <w:sz w:val="20"/>
        </w:rPr>
        <w:t xml:space="preserve">2. </w:t>
      </w:r>
      <w:r>
        <w:rPr>
          <w:rFonts w:ascii="Calibri" w:hAnsi="Calibri"/>
          <w:b w:val="0"/>
          <w:color w:val="3A4A28"/>
          <w:sz w:val="20"/>
        </w:rPr>
        <w:t>Conversion of the roughly $1.3B contracted backlog and MNO partner launches into recurring subscription revenue [1]</w:t>
      </w:r>
    </w:p>
    <w:p>
      <w:pPr>
        <w:spacing w:before="40" w:after="40"/>
        <w:ind w:left="283"/>
      </w:pPr>
      <w:r>
        <w:rPr>
          <w:rFonts w:ascii="Calibri" w:hAnsi="Calibri"/>
          <w:b/>
          <w:color w:val="4A6B25"/>
          <w:sz w:val="20"/>
        </w:rPr>
        <w:t xml:space="preserve">3. </w:t>
      </w:r>
      <w:r>
        <w:rPr>
          <w:rFonts w:ascii="Calibri" w:hAnsi="Calibri"/>
          <w:b w:val="0"/>
          <w:color w:val="3A4A28"/>
          <w:sz w:val="20"/>
        </w:rPr>
        <w:t>Satellite launch cadence meeting plan, enabling continuous coverage and commercial service expansion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class action alleging overstated liquidity and slow adoption, with a November 13, 2026 lead-plaintiff deadline [3]</w:t>
      </w:r>
    </w:p>
    <w:p>
      <w:pPr>
        <w:spacing w:before="40" w:after="40"/>
        <w:ind w:left="283"/>
      </w:pPr>
      <w:r>
        <w:rPr>
          <w:rFonts w:ascii="Calibri" w:hAnsi="Calibri"/>
          <w:b/>
          <w:color w:val="4A6B25"/>
          <w:sz w:val="20"/>
        </w:rPr>
        <w:t xml:space="preserve">2. </w:t>
      </w:r>
      <w:r>
        <w:rPr>
          <w:rFonts w:ascii="Calibri" w:hAnsi="Calibri"/>
          <w:b w:val="0"/>
          <w:color w:val="3A4A28"/>
          <w:sz w:val="20"/>
        </w:rPr>
        <w:t>SpaceX Starlink direct-to-cell competition and launch delays flagged by Scotiabank's January 2026 downgrade [3]</w:t>
      </w:r>
    </w:p>
    <w:p>
      <w:pPr>
        <w:spacing w:before="40" w:after="40"/>
        <w:ind w:left="283"/>
      </w:pPr>
      <w:r>
        <w:rPr>
          <w:rFonts w:ascii="Calibri" w:hAnsi="Calibri"/>
          <w:b/>
          <w:color w:val="4A6B25"/>
          <w:sz w:val="20"/>
        </w:rPr>
        <w:t xml:space="preserve">3. </w:t>
      </w:r>
      <w:r>
        <w:rPr>
          <w:rFonts w:ascii="Calibri" w:hAnsi="Calibri"/>
          <w:b w:val="0"/>
          <w:color w:val="3A4A28"/>
          <w:sz w:val="20"/>
        </w:rPr>
        <w:t>Negative ROE of -45.6% and D/E of 124.9% imply continued capital raising and dilution before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ASTS owns physical satellite infrastructure and spectrum-dependent connectivity that AI cannot substitute; demand for coverage is unaffected by AI. Nothing in research points to analyst concern on AI displacement [3]. AI Opportunity (0/1): Revenue is from connectivity and government contracts, not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AST SpaceMobile Q2 2026 Results and Q1 2026 Earnings Transcript, SEC 8-K, Motley Fool and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AST SpaceMobile leadership and management alignment: Broadband Commission, KoalaGains, Glassdoor,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AST SpaceMobile ESG ratings, securities class action notices (PRNewswire, GlobeNewswire), Scotiabank downgrade coverage,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