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ATCH</w:t>
      </w:r>
      <w:r>
        <w:rPr>
          <w:rFonts w:ascii="Calibri" w:hAnsi="Calibri"/>
          <w:b/>
          <w:color w:val="1A2010"/>
          <w:sz w:val="40"/>
        </w:rPr>
        <w:t xml:space="preserve">  AtlasClear Holdings, Inc.</w:t>
      </w:r>
    </w:p>
    <w:p>
      <w:pPr>
        <w:spacing w:after="120"/>
      </w:pPr>
      <w:r>
        <w:rPr>
          <w:rFonts w:ascii="Calibri" w:hAnsi="Calibri"/>
          <w:b/>
          <w:color w:val="6E8450"/>
          <w:sz w:val="18"/>
        </w:rPr>
        <w:t>GROWTH SLEEVE · 2026-10-20 · Inspire: 10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ASE · United States</w:t>
      </w:r>
    </w:p>
    <w:p>
      <w:pPr>
        <w:spacing w:after="80"/>
      </w:pPr>
      <w:r>
        <w:rPr>
          <w:rFonts w:ascii="Calibri" w:hAnsi="Calibri"/>
          <w:b w:val="0"/>
          <w:color w:val="3A4A28"/>
          <w:sz w:val="20"/>
        </w:rPr>
        <w:t>AtlasClear Holdings, Inc. is a financial services company specializing in securities clearing, back/middle office solutions, and stock locate services for small and mid-sized broker-dealers. Operating through subsidiary Wilson-Davis &amp; Co., the company reported FY2026 (ending June 2026) revenue of $20.1M (+85% YoY) with GAAP net income of approximately $2.0M, though operating losses doubled to $9.8M and profitability depended on an $11.1M non-cash gain on earnout liability. Headquartered in Tampa, Florida with 51 employees.</w:t>
      </w:r>
    </w:p>
    <w:p>
      <w:r>
        <w:rPr>
          <w:rFonts w:ascii="Calibri" w:hAnsi="Calibri"/>
          <w:b/>
          <w:color w:val="6E8450"/>
          <w:sz w:val="18"/>
        </w:rPr>
        <w:t>51 Employees · https://www.atlasclear.com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AtlasClear's stock locate business emerged as a meaningful new revenue stream, contributing to non-commission sources reaching 54% of total revenue — a modest but real diversification from the legacy commission-based clearing model [1]. However, the company has not executed a transformative business model pivot; it remains a small clearing and back-office services provider. AI Deployment (0/2): No evidence of AI-powered products, AI-driven clearing automation, or quantifiable AI cost savings across AtlasClear's operations [2]. Market Share (0/2): AtlasClear is a micro-cap ($24.8M market cap) niche player in securities clearing, serving small and mid-sized broker-dealers against dominant incumbents like Apex, Pershing, and National Financial Services [2]. Product Pipeline (0/2): The pending acquisition of Commercial Bancorp (parent of Farmers State Bank) could add banking capabilities, but regulatory approval timelines are uncertain and no specific product launch dates or revenue targets have been articulated [3]. R&amp;D Intensity (0/1): No evidence of R&amp;D investment; the company focuses on operational scaling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AtlasClear's stated purpose — providing small and mid-sized firms with institutional-grade infrastructure, automation, and compliance at accessible cost — is a clear business objective but is generic and interchangeable with any fintech infrastructure company [2]. It describes what the company does, not why it exists or what better future it serves. Community Impact (0/2): No evidence of charitable programs, foundation activity, or community investment for a 51-employee firm [4]. Employee Retention (0/2): No publicly available data on employee tenure, voluntary turnover, or cultural programs. The company has 51 employees, and no specific retention metrics were disclosed in filings or press materials. Insider Buying (1/2): Executive Chairman John Schaible noted insider investments in recent company financings, suggesting some leadership skin-in-the-game alignment, though specific dollar amounts and transaction details were not disclosed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4,898,078 shares at $0.1632 per share yields daily dollar volume of approximately $799,000, which falls below the $1,000,000 minimum threshold [4]. Infrastructure score is automatically set to 0 regardless of underlying financial metrics. For reference, the company's underlying metrics are mixed: D/E of 71.0% is slightly above target, ROE of 27.4% is strong, profit margin of 9.8% is moderate, and revenue grew 136.8% YoY from an $10.9M base to $20.1M [1][4]. However, the stock's penny-stock price of $0.16 and micro-cap market cap of $24.8M render it too illiquid for institutional investment. Operating cash flow swung to -$6.2M outflow, and the company's $2.0M net income depended on an $11.1M non-cash earnout gain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AtlasClear demonstrates a finite mindset focused on near-term revenue growth and acquisition-driven expansion rather than articulating or advancing a durable purpose. The company's leadership is experienced in financial services infrastructure, but strategic communications emphasize revenue milestones and deal closings rather than long-term vision or organizational culture. The pending bank acquisition reflects opportunistic expansion rather than purpose-driven capability building.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AtlasClear's purpose — democratizing access to institutional-grade financial infrastructure for small broker-dealers — has elements of a cause but reads as a positioning statement rather than a deeply held vision [2]. Leadership frames the mission in terms of market opportunity and revenue growth rather than serving a higher purpose. The company's strategic decisions (stock locate expansion, bank acquisition) appear commercially motivated rather than cause-driven.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AtlasClear's leadership team includes experienced industry veterans from ICE Clear, Legent Clearing, COR Clearing, and StoneX, and the team appears stable with no reported turnover or cultural issues [2]. With 51 employees and growing, the company has maintained organizational stability through its post-SPAC transition. However, no specific evidence of exceptional trust, employee empowerment, or cultural practices distinguishes it from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AtlasClear's strategic communications focus on its own growth metrics and market positioning against larger clearing firms without acknowledging competitors' strengths or expressing a learn-from-rivals orientation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AtlasClear has evolved from a pure clearing house to a diversified financial services platform — the stock locate business now drives 54% of non-commission revenue, and the pending Commercial Bancorp acquisition would add banking capabilities [1][3]. This represents incremental business model expansion into adjacent markets. However, these additions are tactical extensions rather than transformative pivots, and the company has not abandoned any legacy business.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The company's strategy focuses on revenue growth through operational scaling and acquisitions. Management reopened the door to dilutive financing it had previously ruled out, suggesting capital allocation flexibility but not principled long-term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AtlasClear at $0.16 with a $24.8M market cap delivered FY2026 revenue of $20.1M (+85% YoY) with the stock locate business driving revenue diversification beyond traditional clearing commissions — non-commission sources now represent 54% of total revenue [1]. Cash position doubled to $15.4M, stockholders' equity improved from a -$6.8M deficit to $21.1M, and the company reported a second consecutive year of GAAP net income (~$2.0M) [1]. The pending Commercial Bancorp acquisition could add banking capabilities and deposit funding, while the experienced leadership team from ICE Clear, Legent Clearing, and StoneX brings institutional credibility to the small-firm infrastructure thesis [2][3].</w:t>
      </w:r>
    </w:p>
    <w:p>
      <w:pPr>
        <w:spacing w:after="120"/>
      </w:pPr>
      <w:r>
        <w:rPr>
          <w:rFonts w:ascii="Calibri" w:hAnsi="Calibri"/>
          <w:b w:val="0"/>
          <w:color w:val="3A4A28"/>
          <w:sz w:val="20"/>
        </w:rPr>
        <w:t>The bear case is substantial: AtlasClear's $2.0M net income depends entirely on an $11.1M non-cash gain on earnout liability — operating losses actually doubled to $9.8M from $4.9M, and operating cash flow swung to a -$6.2M outflow [1]. The stock trades at $0.16 as a penny stock with a $24.8M market cap and daily dollar volume below $800K, rendering it essentially uninvestable for institutional capital. Forward EPS of -$0.06 projects a return to losses, and management reopened the door to dilutive financing. The bank acquisition faces uncertain regulatory timelines from the Federal Reserve and Wyoming Division of Banking [3]. With only 51 employees servicing small broker-dealers against well-capitalized incumbents like Apex and Pershing, AtlasClear faces severe competitive and scaling challenges in a consolidating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Bancorp acquisition completion — regulatory approval from the Federal Reserve and Wyoming Division of Banking would add banking infrastructure and deposit funding, creating a vertically integrated financial services platform [3]</w:t>
      </w:r>
    </w:p>
    <w:p>
      <w:pPr>
        <w:spacing w:before="40" w:after="40"/>
        <w:ind w:left="283"/>
      </w:pPr>
      <w:r>
        <w:rPr>
          <w:rFonts w:ascii="Calibri" w:hAnsi="Calibri"/>
          <w:b/>
          <w:color w:val="4A6B25"/>
          <w:sz w:val="20"/>
        </w:rPr>
        <w:t xml:space="preserve">2. </w:t>
      </w:r>
      <w:r>
        <w:rPr>
          <w:rFonts w:ascii="Calibri" w:hAnsi="Calibri"/>
          <w:b w:val="0"/>
          <w:color w:val="3A4A28"/>
          <w:sz w:val="20"/>
        </w:rPr>
        <w:t>Stock locate business scaling — the fastest-growing revenue segment at 54% of non-commission revenue could drive continued 50%+ topline growth if the company expands its broker-dealer client base [1]</w:t>
      </w:r>
    </w:p>
    <w:p>
      <w:pPr>
        <w:spacing w:before="40" w:after="40"/>
        <w:ind w:left="283"/>
      </w:pPr>
      <w:r>
        <w:rPr>
          <w:rFonts w:ascii="Calibri" w:hAnsi="Calibri"/>
          <w:b/>
          <w:color w:val="4A6B25"/>
          <w:sz w:val="20"/>
        </w:rPr>
        <w:t xml:space="preserve">3. </w:t>
      </w:r>
      <w:r>
        <w:rPr>
          <w:rFonts w:ascii="Calibri" w:hAnsi="Calibri"/>
          <w:b w:val="0"/>
          <w:color w:val="3A4A28"/>
          <w:sz w:val="20"/>
        </w:rPr>
        <w:t>Clearing industry consolidation — as clearing costs increase for small broker-dealers, AtlasClear's cost-efficient infrastructure pitch could attract client migrations from larger, more expensive clearing firms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Penny stock illiquidity — at $0.16 per share with daily dollar volume below $800K, the stock is effectively untradeable for institutional investors and vulnerable to extreme price volatility from small order flows [4]</w:t>
      </w:r>
    </w:p>
    <w:p>
      <w:pPr>
        <w:spacing w:before="40" w:after="40"/>
        <w:ind w:left="283"/>
      </w:pPr>
      <w:r>
        <w:rPr>
          <w:rFonts w:ascii="Calibri" w:hAnsi="Calibri"/>
          <w:b/>
          <w:color w:val="4A6B25"/>
          <w:sz w:val="20"/>
        </w:rPr>
        <w:t xml:space="preserve">2. </w:t>
      </w:r>
      <w:r>
        <w:rPr>
          <w:rFonts w:ascii="Calibri" w:hAnsi="Calibri"/>
          <w:b w:val="0"/>
          <w:color w:val="3A4A28"/>
          <w:sz w:val="20"/>
        </w:rPr>
        <w:t>Non-cash earnings dependency — GAAP profitability relies on an $11.1M earnout liability gain while operating losses doubled to $9.8M; removing non-cash items reveals deteriorating operational economics [1]</w:t>
      </w:r>
    </w:p>
    <w:p>
      <w:pPr>
        <w:spacing w:before="40" w:after="40"/>
        <w:ind w:left="283"/>
      </w:pPr>
      <w:r>
        <w:rPr>
          <w:rFonts w:ascii="Calibri" w:hAnsi="Calibri"/>
          <w:b/>
          <w:color w:val="4A6B25"/>
          <w:sz w:val="20"/>
        </w:rPr>
        <w:t xml:space="preserve">3. </w:t>
      </w:r>
      <w:r>
        <w:rPr>
          <w:rFonts w:ascii="Calibri" w:hAnsi="Calibri"/>
          <w:b w:val="0"/>
          <w:color w:val="3A4A28"/>
          <w:sz w:val="20"/>
        </w:rPr>
        <w:t>Dilution and capital needs — management has reopened the door to equity financing previously ruled out, and the bank acquisition and operating cash burn of $6.2M may require additional capital raises that dilute the ~152M shares outstanding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AtlasClear operates in securities clearing, compliance, and back-office services — functions that are partially defensible due to regulatory requirements and the need for licensed broker-dealer infrastructure [2]. Clearing and compliance work require FINRA/SEC oversight and cannot be fully automated by AI. However, AI-powered fintech platforms (Robinhood, Alpaca, DriveWealth) are building integrated clearing solutions that could reduce demand for independent clearing firms, and AI-driven compliance tools from larger players could commoditize the back-office services AtlasClear provides to small broker-dealers. The stock locate business faces moderate AI exposure as algorithmic and AI-powered platforms improve locate efficiency. AI Opportunity (0/1): No evidence of AI-generated revenue or AI-powered products in AtlasClear's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AtlasClear Holdings FY2026 Annual Results — Revenue $20.1M (+85%), GAAP Net Income ~$2.0M, Operating Loss $9.8M, Earnout Gain $11.1M, Cash $15.4M, Capital.com/Boardroom Alpha, September 2026</w:t>
      </w:r>
    </w:p>
    <w:p>
      <w:pPr>
        <w:spacing w:before="20" w:after="20"/>
        <w:ind w:left="170"/>
      </w:pPr>
      <w:r>
        <w:rPr>
          <w:rFonts w:ascii="Calibri" w:hAnsi="Calibri"/>
          <w:b/>
          <w:color w:val="4A6B25"/>
          <w:sz w:val="15"/>
        </w:rPr>
        <w:t xml:space="preserve">2. </w:t>
      </w:r>
      <w:r>
        <w:rPr>
          <w:rFonts w:ascii="Calibri" w:hAnsi="Calibri"/>
          <w:b w:val="0"/>
          <w:color w:val="3A4A28"/>
          <w:sz w:val="17"/>
        </w:rPr>
        <w:t>PRISM MarketView Exclusive Q&amp;A — AtlasClear Leadership on Growth Strategy, Institutional-Grade Infrastructure for Small Firms, Insider Investment, GlobeNewswire, November 2025</w:t>
      </w:r>
    </w:p>
    <w:p>
      <w:pPr>
        <w:spacing w:before="20" w:after="20"/>
        <w:ind w:left="170"/>
      </w:pPr>
      <w:r>
        <w:rPr>
          <w:rFonts w:ascii="Calibri" w:hAnsi="Calibri"/>
          <w:b/>
          <w:color w:val="4A6B25"/>
          <w:sz w:val="15"/>
        </w:rPr>
        <w:t xml:space="preserve">3. </w:t>
      </w:r>
      <w:r>
        <w:rPr>
          <w:rFonts w:ascii="Calibri" w:hAnsi="Calibri"/>
          <w:b w:val="0"/>
          <w:color w:val="3A4A28"/>
          <w:sz w:val="17"/>
        </w:rPr>
        <w:t>AtlasClear Commercial Bancorp Acquisition Filing — Regulatory Applications to Federal Reserve and Wyoming Division of Banking, Intellectia/SEC,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ATCH Key Statistics, Stock Price $0.16, Market Cap $24.8M, D/E 71.0%,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