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ATEC</w:t>
      </w:r>
      <w:r>
        <w:rPr>
          <w:rFonts w:ascii="Calibri" w:hAnsi="Calibri"/>
          <w:b/>
          <w:color w:val="1A2010"/>
          <w:sz w:val="40"/>
        </w:rPr>
        <w:t xml:space="preserve">  Alphatec Holdings, Inc.</w:t>
      </w:r>
    </w:p>
    <w:p>
      <w:pPr>
        <w:spacing w:after="120"/>
      </w:pPr>
      <w:r>
        <w:rPr>
          <w:rFonts w:ascii="Calibri" w:hAnsi="Calibri"/>
          <w:b/>
          <w:color w:val="6E8450"/>
          <w:sz w:val="18"/>
        </w:rPr>
        <w:t>GROWTH SLEEVE · 2026-09-03 · Inspire: 48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Medical Devices · NASDAQ · United States</w:t>
      </w:r>
    </w:p>
    <w:p>
      <w:pPr>
        <w:spacing w:after="80"/>
      </w:pPr>
      <w:r>
        <w:rPr>
          <w:rFonts w:ascii="Calibri" w:hAnsi="Calibri"/>
          <w:b w:val="0"/>
          <w:color w:val="3A4A28"/>
          <w:sz w:val="20"/>
        </w:rPr>
        <w:t>Alphatec Holdings is a medical technology company focused on designing, developing, and advancing technologies for the surgical treatment of spinal disorders. The company offers a comprehensive spine surgery platform including the SafeOp Neural InformatiX System for AI-driven neuromonitoring, the EOS imaging platform, and a broad portfolio of fixation, biologics, and motion preservation products. ATEC reported Q2 2026 revenue of $214M (+15% YoY) with surgical revenue up 17% on 20% case volume growth, guiding to $882M full-year 2026 revenue and $134M adjusted EBITDA.</w:t>
      </w:r>
    </w:p>
    <w:p>
      <w:r>
        <w:rPr>
          <w:rFonts w:ascii="Calibri" w:hAnsi="Calibri"/>
          <w:b/>
          <w:color w:val="6E8450"/>
          <w:sz w:val="18"/>
        </w:rPr>
        <w:t>2,800 Employees · https://www.alphatecspine.com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ATEC has executed a significant platform transformation over the past 5 years, evolving from a pure implant company into an integrated surgical solutions platform through the acquisition of EOS Imaging SA and development of the SafeOp Neural InformatiX System [1]. The company averaged 10+ meaningful product introductions per year, including IdentiForm patient-specific 3D-printed implants and lateral surgery approach innovations. Full-year 2025 revenue grew 25% to $764M, significantly outpacing the low-single-digit broader spine market. AI Deployment (1/2): SafeOp Neural InformatiX System ships AI-driven neuromonitoring to surgeons, providing real-time nerve proximity detection during spine procedures — a deployed AI product generating measurable clinical value [1]. Market Share (1/2): ATEC is the fastest share gainer in spine surgery, reporting a 24% increase in net new surgeons and 20% increase in case volume in Q2 2026, though it remains a mid-tier player against Medtronic and Globus Medical [2]. Product Pipeline (2/2): Next-generation pipeline includes expanded EOS imaging integration, new lateral interbody fusion approaches, and continued biologics innovation, with management guiding to $882M 2026 revenue reflecting strong commercial visibility [2]. R&amp;D Intensity (1/1): ATEC invests heavily in R&amp;D relative to medtech peers, with consistent spending on procedural innovation and technology development above industry averages.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ATEC's purpose — revolutionizing the approach to spine surgery through better procedural solutions — is clear and identifies a specific clinical problem, but does not articulate a deeper societal purpose beyond the surgical domain. It differentiates from generic medtech missions but falls short of transformative. Community Impact (1/2): The company's primary community impact is through improved patient outcomes in spine surgery via SafeOp's neural protection and EOS imaging accuracy. No evidence of major foundation activity or distinctive corporate philanthropy programs. Employee Retention (1/2): CEO Pat Miles has built a surgeon-centric, high-performance culture since 2017 with strong commercial team growth. Glassdoor ratings are mixed for the demanding sales organization, but the company has maintained leadership continuity and grown headcount significantly [2]. No specific turnover data available. Insider Buying (1/2): Pat Miles and management maintain meaningful equity stakes and have participated in episodic insider purchases, though net insider buying data for the last 12 months is limited.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passes easily: avg daily volume of ~3.21M shares at $9.79 yields ~$31.4M daily dollar volume [3]. Mechanically scored on Growth sleeve metrics: D/E of 3,141% (reflecting $603M debt against minimal equity eroded by cumulative losses) far exceeds the 300% floor, scoring 0.0 (1x weight). ROE of -3,055% is deeply negative, scoring 0.0 (2x weight). Revenue growth YoY of 15% exceeds the 10% target, scoring 1.0 (1x weight). Revenue growth 5yr CAGR of approximately 33% (2021 $243M to 2025 $764M) well exceeds the 10% target, scoring 1.0 (2x weight). Forward P/E of 14.28 is below the 20 target, scoring 1.0 (1x weight) [3]. Profit margin of -15.93% is below the 0% floor, scoring 0.0 (1x weight). PEG unavailable, excluded. Weighted sum: 0 + 0 + 1.0 + 2.0 + 1.0 + 0 = 4.0 / 8.0 = 0.50 x 10 = 5. The company guides to $134M adjusted EBITDA in 2026 with expected positive free cash flow of ~$20M, signaling the profitability inflection point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Alphatec demonstrates meaningful infinite-game characteristics under Pat Miles' consistent leadership since 2017 — willingness to invest heavily in long-term platform development at the expense of near-term profitability, a genuine clinical purpose, and strategic flexibility demonstrated by the transformative EOS acquisition. However, the company's aggressive growth-at-all-costs posture and competitive language sometimes tilts toward finite-game tactics, and the path to profitability remains the key test of whether long-term investment will translate into sustainable value creation.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ATEC's mission to revolutionize spine surgery represents a genuine cause oriented around improving patient outcomes — not just selling more implants. Pat Miles' consistent leadership since 2017 and willingness to invest heavily in R&amp;D and commercial infrastructure while forgoing profitability demonstrates commitment beyond quarterly metrics [1]. The cause is partially lived: strategic decisions (EOS acquisition, SafeOp development) can be traced back to the goal of better surgical outcomes. However, the mission has not been tested through a major crisis or multi-decade consistency, and the aggressive competitive posture sometimes prioritizes growth metrics over cause advancement.</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ATEC has built strong surgeon engagement and clinical advisory relationships, and Pat Miles has maintained a stable leadership team since 2017 [2]. The company has invested significantly in commercial headcount growth, suggesting commitment to people. The surgeon-centric culture creates external trust. However, internal culture in the demanding high-growth sales organization shows mixed Glassdoor feedback, and the rapid scaling creates typical growing-company challenges. Adequate trust for the industry without exceptional indicators.</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ATEC competes against well-established spine incumbents — Medtronic, Globus Medical (merged with NuVasive), and J&amp;J's DePuy Synthes — and uses their strengths as motivation to innovate rather than merely compete on price. Pat Miles, formerly Vice Chairman of NuVasive, has channeled competitive knowledge into building differentiated procedural solutions. The company frames competition as motivation for innovation: 'building an organic innovation machine and look forward to generating future market disruption,' focusing on procedural differentiation rather than market share destruction [2].</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EOS Imaging acquisition demonstrated meaningful strategic flexibility — transforming ATEC from a pure spine implant company into an integrated surgical solutions platform combining devices, imaging, and neuromonitoring [1]. Taking on significant debt to acquire a complementary technology platform shows willingness to evolve the business model. However, ATEC has not fundamentally abandoned a core business — it expanded and integrated rather than pivoted, which represents incremental evolution rather than transformative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Pat Miles has demonstrated courage by pursuing an aggressive investment strategy — growing revenue from $77M (2019) to $764M (2025) while accepting sustained unprofitability and $603M in debt to build a differentiated platform [1]. The EOS acquisition was a calculated bet that prioritized long-term capability over short-term earnings. However, the transition to profitability remains unproven: management now expects $20M positive free cash flow in 2026, which will be the first real test of whether the growth investments translate into sustainable returns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Alphatec Holdings is the fastest organic share gainer in the $12B+ spine surgery market, delivering Q2 2026 revenue of $214M (+15% YoY) and surgical revenue of $196M (+17%) with 20% case volume growth driven by 24% increase in net new surgeon adoption [2]. The integrated platform — combining implants, SafeOp AI-driven neuromonitoring, and EOS imaging — creates meaningful switching costs and competitive differentiation against Medtronic and Globus Medical. Revenue grew from $243M (2021) to $764M (2025), a ~33% CAGR, with management guiding to $882M for 2026 and expecting the profitability inflection with $134M adjusted EBITDA and ~$20M positive free cash flow [2]. At a forward P/E of ~14x, ATEC is attractively valued if the profitability transition materializes. The Inspire Impact Score of 48 (ALIGNED) adds appeal for faith-based investors.</w:t>
      </w:r>
    </w:p>
    <w:p>
      <w:pPr>
        <w:spacing w:after="120"/>
      </w:pPr>
      <w:r>
        <w:rPr>
          <w:rFonts w:ascii="Calibri" w:hAnsi="Calibri"/>
          <w:b w:val="0"/>
          <w:color w:val="3A4A28"/>
          <w:sz w:val="20"/>
        </w:rPr>
        <w:t>The bear case centers on profitability conversion risk and balance sheet leverage. Despite $882M in guided revenue, ATEC remains GAAP unprofitable with -15.93% profit margin, -3,055% ROE, and $603M in debt against $140M cash [3]. The D/E ratio exceeds 3,100%, reflecting cumulative losses that have eroded equity. The Sustainalytics ESG Risk Rating flags weak management of ESG material risk, and a securities law investigation by Bronstein, Gewirtz &amp; Grossman adds governance overhang [3]. ATEC's reliance on a relatively small number of high-volume spine surgeons creates customer concentration risk — loss of key surgeon relationships could disproportionately impact revenue. The competitive moat from SafeOp and EOS must be sustained against Medtronic's StealthStation, Globus Medical's ExcelsiusGPS, and Stryker's Mako ecosystem, all backed by significantly greater R&amp;D budgets. If the 2026 profitability inflection fails to materialize, the stock's forward P/E valuation premium evaporates.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Profitability inflection point: management targeting $134M adjusted EBITDA and ~$20M positive free cash flow in 2026, which would validate the business model after years of investment and potentially re-rate the stock [2]</w:t>
      </w:r>
    </w:p>
    <w:p>
      <w:pPr>
        <w:spacing w:before="40" w:after="40"/>
        <w:ind w:left="283"/>
      </w:pPr>
      <w:r>
        <w:rPr>
          <w:rFonts w:ascii="Calibri" w:hAnsi="Calibri"/>
          <w:b/>
          <w:color w:val="4A6B25"/>
          <w:sz w:val="20"/>
        </w:rPr>
        <w:t xml:space="preserve">2. </w:t>
      </w:r>
      <w:r>
        <w:rPr>
          <w:rFonts w:ascii="Calibri" w:hAnsi="Calibri"/>
          <w:b w:val="0"/>
          <w:color w:val="3A4A28"/>
          <w:sz w:val="20"/>
        </w:rPr>
        <w:t>Continued surgeon adoption acceleration — 24% increase in net new surgeons and 20% case volume growth in Q2 2026 demonstrate durable market share gains that compound with platform economics [2]</w:t>
      </w:r>
    </w:p>
    <w:p>
      <w:pPr>
        <w:spacing w:before="40" w:after="40"/>
        <w:ind w:left="283"/>
      </w:pPr>
      <w:r>
        <w:rPr>
          <w:rFonts w:ascii="Calibri" w:hAnsi="Calibri"/>
          <w:b/>
          <w:color w:val="4A6B25"/>
          <w:sz w:val="20"/>
        </w:rPr>
        <w:t xml:space="preserve">3. </w:t>
      </w:r>
      <w:r>
        <w:rPr>
          <w:rFonts w:ascii="Calibri" w:hAnsi="Calibri"/>
          <w:b w:val="0"/>
          <w:color w:val="3A4A28"/>
          <w:sz w:val="20"/>
        </w:rPr>
        <w:t>EOS imaging platform driving pull-through of higher-margin implant sales while creating a data-driven competitive moat and cross-selling opportunities across the spine surgery portfolio</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Balance sheet leverage with D/E exceeding 3,100% and $603M in debt creates financing risk if growth slows, interest rates remain elevated, or capital markets tighten — the company's path to profitability is narrow [3]</w:t>
      </w:r>
    </w:p>
    <w:p>
      <w:pPr>
        <w:spacing w:before="40" w:after="40"/>
        <w:ind w:left="283"/>
      </w:pPr>
      <w:r>
        <w:rPr>
          <w:rFonts w:ascii="Calibri" w:hAnsi="Calibri"/>
          <w:b/>
          <w:color w:val="4A6B25"/>
          <w:sz w:val="20"/>
        </w:rPr>
        <w:t xml:space="preserve">2. </w:t>
      </w:r>
      <w:r>
        <w:rPr>
          <w:rFonts w:ascii="Calibri" w:hAnsi="Calibri"/>
          <w:b w:val="0"/>
          <w:color w:val="3A4A28"/>
          <w:sz w:val="20"/>
        </w:rPr>
        <w:t>Securities law investigation by Bronstein, Gewirtz &amp; Grossman and Sustainalytics ESG risk rating flagging 'highest controversy level' create governance and legal overhang that could weigh on institutional ownership [3]</w:t>
      </w:r>
    </w:p>
    <w:p>
      <w:pPr>
        <w:spacing w:before="40" w:after="40"/>
        <w:ind w:left="283"/>
      </w:pPr>
      <w:r>
        <w:rPr>
          <w:rFonts w:ascii="Calibri" w:hAnsi="Calibri"/>
          <w:b/>
          <w:color w:val="4A6B25"/>
          <w:sz w:val="20"/>
        </w:rPr>
        <w:t xml:space="preserve">3. </w:t>
      </w:r>
      <w:r>
        <w:rPr>
          <w:rFonts w:ascii="Calibri" w:hAnsi="Calibri"/>
          <w:b w:val="0"/>
          <w:color w:val="3A4A28"/>
          <w:sz w:val="20"/>
        </w:rPr>
        <w:t>Competitive response from Medtronic, Globus Medical, and Stryker, who possess significantly greater R&amp;D budgets, established surgeon relationships, and robotics platforms that could erode ATEC's procedural innovation advantage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Spine surgery is among the most AI-resilient segments in healthcare — the core value proposition involves complex physical surgical procedures requiring hands-on expertise, anatomical judgment, and real-time decision-making that AI structurally cannot displace [1]. ATEC's business centers on implantable medical devices (fixation, biologics, motion preservation) and surgical instrumentation that require physical manufacturing, regulatory approval, and surgeon relationships. AI is a clear enabler rather than threat: it enhances surgical planning, neuromonitoring accuracy, and imaging interpretation without replacing the fundamental need for physical devices and surgeon skill. No analysts have flagged AI as a substitution risk for spine surgery device companies. AI Opportunity (1/1): The SafeOp Neural InformatiX System already leverages AI-driven neuromonitoring to improve surgical safety, generating meaningful revenue through procedure-based utilization [1]. The EOS imaging platform benefits from AI-enhanced image processing and surgical planning. ATEC generates quantifiable AI-related revenue through these deployed products.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ATEC Q1 2026 Earnings Release — Revenue $192M (+14% YoY), Surgical Revenue +17%, 2026 Guidance $882M Revenue, $134M Adj. EBITDA; BusinessWire, January 2026 Preliminary Results</w:t>
      </w:r>
    </w:p>
    <w:p>
      <w:pPr>
        <w:spacing w:before="20" w:after="20"/>
        <w:ind w:left="170"/>
      </w:pPr>
      <w:r>
        <w:rPr>
          <w:rFonts w:ascii="Calibri" w:hAnsi="Calibri"/>
          <w:b/>
          <w:color w:val="4A6B25"/>
          <w:sz w:val="15"/>
        </w:rPr>
        <w:t xml:space="preserve">2. </w:t>
      </w:r>
      <w:r>
        <w:rPr>
          <w:rFonts w:ascii="Calibri" w:hAnsi="Calibri"/>
          <w:b w:val="0"/>
          <w:color w:val="3A4A28"/>
          <w:sz w:val="17"/>
        </w:rPr>
        <w:t>ATEC Q2 2026 Earnings Call Highlights — Revenue $214M (+15% YoY), Surgical Revenue $196M (+17%), Case Volume +20%, Net New Surgeons +24%, Adj. EBITDA $36M (+53% YoY, 17% margin); Seeking Alpha, August 2026</w:t>
      </w:r>
    </w:p>
    <w:p>
      <w:pPr>
        <w:spacing w:before="20" w:after="20"/>
        <w:ind w:left="170"/>
      </w:pPr>
      <w:r>
        <w:rPr>
          <w:rFonts w:ascii="Calibri" w:hAnsi="Calibri"/>
          <w:b/>
          <w:color w:val="4A6B25"/>
          <w:sz w:val="15"/>
        </w:rPr>
        <w:t xml:space="preserve">3. </w:t>
      </w:r>
      <w:r>
        <w:rPr>
          <w:rFonts w:ascii="Calibri" w:hAnsi="Calibri"/>
          <w:b w:val="0"/>
          <w:color w:val="3A4A28"/>
          <w:sz w:val="17"/>
        </w:rPr>
        <w:t>StockAnalysis.com, Sustainalytics ESG Rating, Simply Wall St — ATEC Key Statistics: Forward P/E 14.28, D/E 3,141%, ROE -3,055%, Profit Margin -15.93%, Stock Price $9.79, Avg Volume 3.21M; Bronstein Gewirtz Securities Investigation;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