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ATI</w:t>
      </w:r>
      <w:r>
        <w:rPr>
          <w:rFonts w:ascii="Calibri" w:hAnsi="Calibri"/>
          <w:b/>
          <w:color w:val="1A2010"/>
          <w:sz w:val="40"/>
        </w:rPr>
        <w:t xml:space="preserve">  ATI Inc.</w:t>
      </w:r>
    </w:p>
    <w:p>
      <w:pPr>
        <w:spacing w:after="120"/>
      </w:pPr>
      <w:r>
        <w:rPr>
          <w:rFonts w:ascii="Calibri" w:hAnsi="Calibri"/>
          <w:b/>
          <w:color w:val="6E8450"/>
          <w:sz w:val="18"/>
        </w:rPr>
        <w:t>GROWTH SLEEVE · 2026-09-11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Industrial Metals · NYSE · United States</w:t>
      </w:r>
    </w:p>
    <w:p>
      <w:pPr>
        <w:spacing w:after="80"/>
      </w:pPr>
      <w:r>
        <w:rPr>
          <w:rFonts w:ascii="Calibri" w:hAnsi="Calibri"/>
          <w:b w:val="0"/>
          <w:color w:val="3A4A28"/>
          <w:sz w:val="20"/>
        </w:rPr>
        <w:t>ATI Inc. produces highly differentiated specialty metals — premium titanium, nickel-based superalloys, and isothermal forgings — primarily for aerospace, defense, and energy end markets. Under CEO Kimberly Fields, ATI has transformed from a standard stainless steel producer into a specialty alloys leader, nearly tripling margins and doubling revenue over recent years, and reported Q2 2026 revenue of $1.26B (+11% YoY) with adjusted EBITDA up 37% and a record backlog of $4.4B (+18% YoY) [1][2].</w:t>
      </w:r>
    </w:p>
    <w:p>
      <w:r>
        <w:rPr>
          <w:rFonts w:ascii="Calibri" w:hAnsi="Calibri"/>
          <w:b/>
          <w:color w:val="6E8450"/>
          <w:sz w:val="18"/>
        </w:rPr>
        <w:t>9,300 Employees · https://www.atimaterials.com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ATI executed a genuine business-model transformation from a commodity stainless steel producer to a differentiated specialty alloys leader, a shift management and analysts credit with nearly tripling margins and doubling revenue over the past several years [2]. AI Deployment (0/2): No evidence was found of AI-powered products shipping or quantified AI-driven cost savings; ATI's efficiency gains are attributed to portfolio mix shift and capacity utilization, not AI. Market Share (2/2): Extending lead times of approximately 12 months for nickel alloys, 20 months for premium titanium, and over 24 months for isothermal forgings indicate ATI-supplied capacity is a binding constraint for aerospace customers, a specific signal of demand exceeding supply in a leadership position [1]. Product Pipeline (2/2): Defense revenue grew 36% YoY to an all-time high on naval nuclear, missile, and missile defense demand, including a renewed naval nuclear contract that doubled that program's annual revenue — specific, dated, quantified pipeline visibility [1]. R&amp;D Intensity (0/1): No data was found on R&amp;D spend as a percentage of revenue relative to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Kimberly Fields describes a culture of 'challenging the status quo, constantly willing to try new things and seeking breakthroughs,' but this is internally focused performance language rather than an articulated purpose connecting ATI's work to a broader beneficiary beyond the company itself [2]. Community Impact (0/2): No specific charitable programs or community investment figures were identified. Employee Retention (0/2): Culture commentary describes 'uneven' communication and management layers, with 'senior leadership support often muted,' which is not evidence of above-average retention or purpose-driven tenure [2]. Insider Buying (0/2): No insider transaction data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weighting (PEG and ROE at 2x). ROE of 25.36% clears the 15% target (score 1.0, 2x weight), revenue growth YoY of 11% clears the 10% target (score 1.0), and Forward PEG of 1.06 (2x weight) scores 0.97, just above the 1.0 target. D/E of 110% scores 0.83 (moderate leverage, above the 70% target but well inside the 300% floor), Forward P/E of 34.25x scores 0.64 (a growth premium reflecting the aerospace supercycle), and profit margin of 10.09% scores 0.50, roughly half the 20% target, consistent with a specialty metals producer still expanding margins off a historically commodity cost base. 5-year revenue CAGR was unavailable and excluded. The stock clears the liquidity floor comfortably at roughly $355M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ATI's multi-year pivot from commodity stainless steel to differentiated aerospace and defense alloys is a real strategic transformation that Sinek would credit as existential flexibility and courageous capital allocation, but the company's articulated 'challenging the status quo' culture reads as performance-oriented rather than a genuine service-oriented Just Cause, and internal culture feedback describes uneven communication and muted senior leadership support.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ATI's cultural language emphasizes internal performance — 'not being constrained by past successes,' 'acting with urgency and taking calculated risks' — which is about how the company competes, not a service-oriented vision of a better future for a broader constituency; no evidence of a distinctive purpose beyond commercial performance was found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ATI's culture is described as collaborative around solving 'high-spec manufacturing problems,' but 'communication and management layers are described as uneven, with concerns about top-down decisions and perceptions of senior leadership support often muted' — an adequate-but-not-exceptional trust environment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ATI publicly framing competitors as sources of learning or self-improvement; commentary centers on ATI's own capacity constraints and demand strength rather than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ATI fundamentally reinvented itself from a standard/commodity stainless steel producer into a specialty alloys leader focused on aerospace and defense, a transformation credited with nearly tripling margins and doubling revenue — a genuine business-model pivot rather than incremental adjustment [2].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multi-year decision to de-emphasize lower-margin commodity stainless steel in favor of capital-intensive, long-cycle premium titanium and superalloy capacity required absorbing short-term revenue and margin volatility for a structurally better long-term position, and the company continues to invest in extending capacity even as lead times stretch to 20-24+ months rather than harvesting near-term pricing power alone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ATI is a capacity-constrained beneficiary of the commercial aerospace and defense supercycle: Q2 2026 revenue grew 11% YoY to $1.26B with adjusted EBITDA up 37% to $284.4M, and the company raised full-year guidance to an adjusted EBITDA midpoint of $1.16B (35% growth) and adjusted EPS midpoint of $5.04 (56% growth) [1]. A record backlog of $4.4B (+18% YoY), with roughly 70% converting to revenue within 12 months, provides multi-year visibility, reinforced by extending lead times (up to 24+ months for isothermal forgings) that signal demand structurally outstripping ATI's specialty melt capacity. ROE of 25.36% and a Forward PEG of 1.06 suggest the market has not fully priced the durability of ATI's transformation from commodity stainless steel into a differentiated aerospace and defense alloys franchise, including a renewed naval nuclear contract that doubled that program's annual revenue.</w:t>
      </w:r>
    </w:p>
    <w:p>
      <w:pPr>
        <w:spacing w:after="120"/>
      </w:pPr>
      <w:r>
        <w:rPr>
          <w:rFonts w:ascii="Calibri" w:hAnsi="Calibri"/>
          <w:b w:val="0"/>
          <w:color w:val="3A4A28"/>
          <w:sz w:val="20"/>
        </w:rPr>
        <w:t>The bear case centers on valuation and culture execution risk. A Forward P/E of 34.25x prices in continued double-digit EBITDA growth, and any moderation in commercial jet build rates (Boeing/Airbus production ramp risk) or defense budget timing could compress the multiple meaningfully. D/E of 110% is above the Infrastructure target and reflects the capital intensity of specialty melt capacity expansion, while profit margin of 10.09% remains well below the 20% target despite years of mix-shift improvement, an indication that further margin upside is not guaranteed. Internally, culture commentary describing 'uneven' communication and 'muted' senior leadership support suggests execution risk as the company scales capacity to meet its record backlog, and no evidence of a differentiated Just Cause beyond performance-oriented language limits the Inspiration score materially.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backlog conversion from the record $4.4B backlog (+18% YoY), with ~70% expected to convert to revenue over the next 12 months, supporting the raised FY2026 guidance [1]</w:t>
      </w:r>
    </w:p>
    <w:p>
      <w:pPr>
        <w:spacing w:before="40" w:after="40"/>
        <w:ind w:left="283"/>
      </w:pPr>
      <w:r>
        <w:rPr>
          <w:rFonts w:ascii="Calibri" w:hAnsi="Calibri"/>
          <w:b/>
          <w:color w:val="4A6B25"/>
          <w:sz w:val="20"/>
        </w:rPr>
        <w:t xml:space="preserve">2. </w:t>
      </w:r>
      <w:r>
        <w:rPr>
          <w:rFonts w:ascii="Calibri" w:hAnsi="Calibri"/>
          <w:b w:val="0"/>
          <w:color w:val="3A4A28"/>
          <w:sz w:val="20"/>
        </w:rPr>
        <w:t>Extending lead times (12 months nickel alloys, 20 months premium titanium, 24+ months isothermal forgings) signaling durable pricing power as capacity remains the binding constraint on aerospace and defense supply chains [1]</w:t>
      </w:r>
    </w:p>
    <w:p>
      <w:pPr>
        <w:spacing w:before="40" w:after="40"/>
        <w:ind w:left="283"/>
      </w:pPr>
      <w:r>
        <w:rPr>
          <w:rFonts w:ascii="Calibri" w:hAnsi="Calibri"/>
          <w:b/>
          <w:color w:val="4A6B25"/>
          <w:sz w:val="20"/>
        </w:rPr>
        <w:t xml:space="preserve">3. </w:t>
      </w:r>
      <w:r>
        <w:rPr>
          <w:rFonts w:ascii="Calibri" w:hAnsi="Calibri"/>
          <w:b w:val="0"/>
          <w:color w:val="3A4A28"/>
          <w:sz w:val="20"/>
        </w:rPr>
        <w:t>Further defense program wins following the naval nuclear contract renewal that doubled that program's annual revenue, with defense revenue up 36% YoY to an all-time high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risk: a 34.25x forward P/E prices in sustained high-growth execution, leaving limited room for error if commercial jet build rates or defense budget timing disappoint</w:t>
      </w:r>
    </w:p>
    <w:p>
      <w:pPr>
        <w:spacing w:before="40" w:after="40"/>
        <w:ind w:left="283"/>
      </w:pPr>
      <w:r>
        <w:rPr>
          <w:rFonts w:ascii="Calibri" w:hAnsi="Calibri"/>
          <w:b/>
          <w:color w:val="4A6B25"/>
          <w:sz w:val="20"/>
        </w:rPr>
        <w:t xml:space="preserve">2. </w:t>
      </w:r>
      <w:r>
        <w:rPr>
          <w:rFonts w:ascii="Calibri" w:hAnsi="Calibri"/>
          <w:b w:val="0"/>
          <w:color w:val="3A4A28"/>
          <w:sz w:val="20"/>
        </w:rPr>
        <w:t>Elevated leverage (D/E of 110%) funding capacity expansion, which increases sensitivity to any demand slowdown or capital markets tightening</w:t>
      </w:r>
    </w:p>
    <w:p>
      <w:pPr>
        <w:spacing w:before="40" w:after="40"/>
        <w:ind w:left="283"/>
      </w:pPr>
      <w:r>
        <w:rPr>
          <w:rFonts w:ascii="Calibri" w:hAnsi="Calibri"/>
          <w:b/>
          <w:color w:val="4A6B25"/>
          <w:sz w:val="20"/>
        </w:rPr>
        <w:t xml:space="preserve">3. </w:t>
      </w:r>
      <w:r>
        <w:rPr>
          <w:rFonts w:ascii="Calibri" w:hAnsi="Calibri"/>
          <w:b w:val="0"/>
          <w:color w:val="3A4A28"/>
          <w:sz w:val="20"/>
        </w:rPr>
        <w:t>Internal culture friction — 'uneven' communication and muted senior leadership support — that could complicate execution as ATI scales capacity to convert its record backlog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ATI's business — melting, forging, and finishing aerospace-grade titanium and nickel superalloys under strict FAA/DoD material certification — is a physical metallurgical process that AI software cannot substitute; the binding constraints are melt capacity, qualification cycles, and material science, not information processing [1]. No analyst commentary found flags AI substitution risk for specialty metals production; if anything, AI-driven data center and defense electronics buildout is a tangential long-term demand driver for advanced alloys. AI Opportunity (0/1): No AI-specific revenue or efficiency figures were disclosed by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ATI Inc. Q1 and Q2 2026 Earnings Call Transcripts and Results — The Motley Fool, Yahoo Finance, Investing.com, GlobeAndMail, 2026</w:t>
      </w:r>
    </w:p>
    <w:p>
      <w:pPr>
        <w:spacing w:before="20" w:after="20"/>
        <w:ind w:left="170"/>
      </w:pPr>
      <w:r>
        <w:rPr>
          <w:rFonts w:ascii="Calibri" w:hAnsi="Calibri"/>
          <w:b/>
          <w:color w:val="4A6B25"/>
          <w:sz w:val="15"/>
        </w:rPr>
        <w:t xml:space="preserve">2. </w:t>
      </w:r>
      <w:r>
        <w:rPr>
          <w:rFonts w:ascii="Calibri" w:hAnsi="Calibri"/>
          <w:b w:val="0"/>
          <w:color w:val="3A4A28"/>
          <w:sz w:val="17"/>
        </w:rPr>
        <w:t>ATI Inc. CEO Kimberly Fields Leadership and Culture Coverage — Built In, D CEO Magazine, ir.atimaterials.com, 2025-2026</w:t>
      </w:r>
    </w:p>
    <w:p>
      <w:pPr>
        <w:spacing w:before="20" w:after="20"/>
        <w:ind w:left="170"/>
      </w:pPr>
      <w:r>
        <w:rPr>
          <w:rFonts w:ascii="Calibri" w:hAnsi="Calibri"/>
          <w:b/>
          <w:color w:val="4A6B25"/>
          <w:sz w:val="15"/>
        </w:rPr>
        <w:t xml:space="preserve">3. </w:t>
      </w:r>
      <w:r>
        <w:rPr>
          <w:rFonts w:ascii="Calibri" w:hAnsi="Calibri"/>
          <w:b w:val="0"/>
          <w:color w:val="3A4A28"/>
          <w:sz w:val="17"/>
        </w:rPr>
        <w:t>ATI Inc. ESG and Sustainability Reporting — CSRHub, atimaterials.com Corporate Responsibility Report, MarketScreener,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ATI Statistics &amp; Valuation,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