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ATO</w:t>
      </w:r>
      <w:r>
        <w:rPr>
          <w:rFonts w:ascii="Calibri" w:hAnsi="Calibri"/>
          <w:b/>
          <w:color w:val="1A2010"/>
          <w:sz w:val="40"/>
        </w:rPr>
        <w:t xml:space="preserve">  Atmos Energy Corporation</w:t>
      </w:r>
    </w:p>
    <w:p>
      <w:pPr>
        <w:spacing w:after="120"/>
      </w:pPr>
      <w:r>
        <w:rPr>
          <w:rFonts w:ascii="Calibri" w:hAnsi="Calibri"/>
          <w:b/>
          <w:color w:val="6E8450"/>
          <w:sz w:val="18"/>
        </w:rPr>
        <w:t>DIVIDEND SLEEVE · 2026-10-20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Gas · NYSE · United States</w:t>
      </w:r>
    </w:p>
    <w:p>
      <w:pPr>
        <w:spacing w:after="80"/>
      </w:pPr>
      <w:r>
        <w:rPr>
          <w:rFonts w:ascii="Calibri" w:hAnsi="Calibri"/>
          <w:b w:val="0"/>
          <w:color w:val="3A4A28"/>
          <w:sz w:val="20"/>
        </w:rPr>
        <w:t>Atmos Energy Corporation is the largest fully regulated, pure-play natural gas distribution company in the United States, serving approximately 3.4 million residential, commercial, and industrial customers across eight states. Founded in 1906 and headquartered in Dallas, Texas, the company operates through Distribution and Pipeline &amp; Storage segments, owning 76,000 miles of underground distribution mains and 5,700 miles of gas transmission lines. FY2026 YTD (nine months ending June 2026) EPS of $7.33 on $3.1B in capital expenditures with 85%+ focused on safety and reliability. Full-year FY2026 EPS guidance reaffirmed at $8.40-$8.50.</w:t>
      </w:r>
    </w:p>
    <w:p>
      <w:r>
        <w:rPr>
          <w:rFonts w:ascii="Calibri" w:hAnsi="Calibri"/>
          <w:b/>
          <w:color w:val="6E8450"/>
          <w:sz w:val="18"/>
        </w:rPr>
        <w:t>5,487 Employees · https://www.atmosenergy.com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Atmos Energy has operated the same regulated gas distribution business for 120 years with no product launches, market pivots, or business model transformations — the company distributes natural gas through pipelines as it has since 1906 [1][5]. Infrastructure modernization is operational improvement, not innovation. AI Deployment (0/2): No evidence of AI-powered products, AI-driven operational improvements, or AI strategy in Atmos's pipeline operations, customer service, or field management [4]. Market Share (1/2): Atmos is the largest fully regulated pure-play natural gas distributor in the United States, serving 3.4 million customers across eight states with 76,000 miles of distribution mains — a meaningful category leader in its niche [1][5]. Product Pipeline (0/2): The company's $4.2B annual capital expenditure program and 13 pending regulatory filings seeking ~$600M in rate increases represent infrastructure replacement and rate base growth, not next-generation products [1][2]. R&amp;D Intensity (0/1): Regulated utilities do not invest in R&amp;D; Atmos allocates capital to pipeline replacement, safety improvements, and system modernization.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Atmos Energy's stated strategic priorities — 'operate our business exceptionally well, invest in our people and infrastructure, and enhance our culture' — are generic and interchangeable with any regulated utility [4]. The company does not articulate a distinctive purpose or vision that inspires beyond operational excellence in gas distribution. Community Impact (1/2): Atmos invests in communities it serves as part of its regulated utility obligations and has published sustainability commitments around environmental stewardship and community engagement [4]. However, no specific foundation, dollar amounts, or distinctive charitable programs were identified beyond standard utility community investment. Employee Retention (0/2): The company employs 5,487 people and emphasizes culture enhancement as a strategic priority, but no specific voluntary turnover data, average tenure figures, or evidence of above-industry retention was found [4]. Insider Buying (0/2): No evidence of meaningful net insider buying by CEO Kevin Akers or other executives in the last 12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Atmos delivers strong financial discipline befitting a regulated utility: D/E of 67.7% is just below the 70% target (score 1.0), reflecting prudent leverage management for a capital-intensive utility [5]. Forward P/E of 18.24 is below the 20 target (score 1.0), and profit margin of 28.5% exceeds the 20% target (score 1.0) — exceptionally high for a utility due to the regulated rate structure [1]. Revenue growth YoY of 4.8% scores 0.83, and 3yr revenue CAGR of approximately 3.8% scores 0.59 against the 10% target, reflecting the steady but modest growth profile of a regulated utility. ROE of 9.8% scores 0.65 against the 15% target — acceptable for a utility but below ideal [5]. Dividend metrics are uniformly strong: 38 consecutive years of payments (score 1.0, 2x weight), consistent annual increases over 40+ years (score 1.0), payout ratio of 46.1% (score 0.90), and 5yr dividend growth CAGR of 8.0% exceeds the 6% target (score 1.0, 2x weight). Daily dollar volume of $168M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Atmos Energy exhibits mixed infinite game characteristics — the company has demonstrated remarkable consistency of purpose over 120 years of continuous gas distribution operations and makes sustained long-term infrastructure investments, but it lacks existential flexibility (inherent to regulated utilities), shows no worthy rival mindset (operating as a regulated monopoly), and its strategic language focuses on rate base growth and regulatory outcomes rather than advancing a transformative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Atmos Energy's core purpose — providing safe, reliable natural gas service to communities — has been consistently pursued for 120 years through wars, depressions, energy crises, and market cycles [1][5]. The company's $3.1B annual capital spending with 85%+ focused on safety and reliability demonstrates genuine commitment to the cause of safe energy delivery, validated by over a century of execution. However, 'safe gas distribution' is more of an operational mandate than the kind of aspirational, never-fully-achievable vision Sinek defines as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Atmos employs 5,487 people and emphasizes culture enhancement as one of three strategic priorities [4]. The company operates in a stable, regulated industry with consistent leadership — characteristics that generally foster organizational trust. No evidence of mass layoffs, cultural dysfunction, or leadership instability. However, no specific data on exceptional trust, employee empowerment, or distinctive cultural practices distinguishes Atmos from utility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operating in franchised service territories, Atmos does not face direct competition in its core distribution business and therefore does not exhibit either finite or infinite competitive mindsets [5]. The company's 'competition' is with regulators over rate cases and with alternative energy sources (electricity, renewables) over long-term demand. No evidence of leadership acknowledging competitors'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Atmos has operated the same fundamental business — regulated natural gas distribution — for 120 years with no strategic pivots, business model transformations, or entry into adjacent markets [1][5]. This rigidity is structural: regulated utilities are required by law to provide gas service within their territories and cannot abandon their franchise obligations. The company has not demonstrated (and cannot demonstrate) the willingness to blow up its business model in service of a higher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Atmos demonstrates sustained courage through massive long-term infrastructure investment — $3.1B in capital spending in the first nine months of FY2026 alone, with 85%+ focused on safety and reliability rather than near-term earnings optimization [1][2]. The company has pursued $355M in annualized regulatory outcomes and has 13 filings seeking nearly $600M more, requiring patient multi-year engagement with regulators. However, these investments are largely mandated by regulatory requirements and safety obligations rather than voluntary courageous choices, and the company has not made costly contrarian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Atmos Energy at $164.74 with a $27.8B market cap is the premier pure-play regulated natural gas utility in the United States, serving 3.4 million customers across eight states with a 120-year operating history. FY2026 YTD EPS of $7.33 tracks toward reaffirmed full-year guidance of $8.40-$8.50, representing 8-10% EPS growth driven by rate base expansion from $3.1B in annual capital spending [1][2]. The company offers a 2.43% dividend yield with 38 consecutive years of payments, 40+ years of consecutive growth, and an 8.0% 5yr dividend growth CAGR — well above inflation [5]. D/E of 67.7% is conservative for a utility, profit margin of 28.5% reflects the regulated rate structure's profitability, and Forward P/E of 18.24 is reasonable for a defensive, AI-immune utility with predictable earnings growth [1][5].</w:t>
      </w:r>
    </w:p>
    <w:p>
      <w:pPr>
        <w:spacing w:after="120"/>
      </w:pPr>
      <w:r>
        <w:rPr>
          <w:rFonts w:ascii="Calibri" w:hAnsi="Calibri"/>
          <w:b w:val="0"/>
          <w:color w:val="3A4A28"/>
          <w:sz w:val="20"/>
        </w:rPr>
        <w:t>The bear case centers on low growth, safety liabilities, and secular energy transition risk. Revenue grew just 4.8% YoY and the 3yr CAGR of 3.8% reflects the inherent growth ceiling of a regulated utility — Atmos cannot grow faster than its rate base and customer additions allow [1]. The NTSB investigation of the January 2024 Jackson, Mississippi gas explosions found that Atmos underrated known leaks, and a 2018 investigation documented dozens of home explosions across Texas since 2006, raising safety liability concerns and potential regulatory penalties [3]. Free cash flow is deeply negative at -$2.2B as capital spending ($3.1B YTD) dramatically exceeds operating cash flow ($2.0B), requiring continuous debt issuance to fund infrastructure investment [5]. The long-term electrification trend and municipal natural gas bans (though partially reversed) threaten demand for gas distribution infrastructure over a multi-decade horizon. ROE of 9.8% is below the cost of equity for most utility investors, reflecting regulatory lag in rate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Rate base growth acceleration — $4.2B planned annual capital spending with 85%+ focused on safety and reliability drives predictable rate base expansion, supported by 13 pending regulatory filings seeking ~$600M in annualized operating income increases [1][2]</w:t>
      </w:r>
    </w:p>
    <w:p>
      <w:pPr>
        <w:spacing w:before="40" w:after="40"/>
        <w:ind w:left="283"/>
      </w:pPr>
      <w:r>
        <w:rPr>
          <w:rFonts w:ascii="Calibri" w:hAnsi="Calibri"/>
          <w:b/>
          <w:color w:val="4A6B25"/>
          <w:sz w:val="20"/>
        </w:rPr>
        <w:t xml:space="preserve">2. </w:t>
      </w:r>
      <w:r>
        <w:rPr>
          <w:rFonts w:ascii="Calibri" w:hAnsi="Calibri"/>
          <w:b w:val="0"/>
          <w:color w:val="3A4A28"/>
          <w:sz w:val="20"/>
        </w:rPr>
        <w:t>AI data center energy demand — growing AI infrastructure requires significant electricity generation, much of it gas-fired, potentially increasing demand for Atmos's pipeline and storage operations, particularly in Texas and the Southeast [1]</w:t>
      </w:r>
    </w:p>
    <w:p>
      <w:pPr>
        <w:spacing w:before="40" w:after="40"/>
        <w:ind w:left="283"/>
      </w:pPr>
      <w:r>
        <w:rPr>
          <w:rFonts w:ascii="Calibri" w:hAnsi="Calibri"/>
          <w:b/>
          <w:color w:val="4A6B25"/>
          <w:sz w:val="20"/>
        </w:rPr>
        <w:t xml:space="preserve">3. </w:t>
      </w:r>
      <w:r>
        <w:rPr>
          <w:rFonts w:ascii="Calibri" w:hAnsi="Calibri"/>
          <w:b w:val="0"/>
          <w:color w:val="3A4A28"/>
          <w:sz w:val="20"/>
        </w:rPr>
        <w:t>Dividend growth continuity — 40+ consecutive years of dividend increases with 8.0% 5yr CAGR and a 46.1% payout ratio provide substantial room for continued above-inflation dividend growth on expanding earnings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Pipeline safety liabilities — NTSB findings that Atmos underrated known leaks before the 2024 Jackson, Mississippi explosions, combined with a documented history of home explosions in Texas since 2006, expose the company to regulatory penalties, litigation costs, and reputational damage [3]</w:t>
      </w:r>
    </w:p>
    <w:p>
      <w:pPr>
        <w:spacing w:before="40" w:after="40"/>
        <w:ind w:left="283"/>
      </w:pPr>
      <w:r>
        <w:rPr>
          <w:rFonts w:ascii="Calibri" w:hAnsi="Calibri"/>
          <w:b/>
          <w:color w:val="4A6B25"/>
          <w:sz w:val="20"/>
        </w:rPr>
        <w:t xml:space="preserve">2. </w:t>
      </w:r>
      <w:r>
        <w:rPr>
          <w:rFonts w:ascii="Calibri" w:hAnsi="Calibri"/>
          <w:b w:val="0"/>
          <w:color w:val="3A4A28"/>
          <w:sz w:val="20"/>
        </w:rPr>
        <w:t>Chronic negative free cash flow — capital spending of $3.1B YTD against operating cash flow of $2.0B creates a structural funding gap requiring continuous debt issuance, increasing leverage risk if interest rates remain elevated or regulatory cost recovery is delayed [5]</w:t>
      </w:r>
    </w:p>
    <w:p>
      <w:pPr>
        <w:spacing w:before="40" w:after="40"/>
        <w:ind w:left="283"/>
      </w:pPr>
      <w:r>
        <w:rPr>
          <w:rFonts w:ascii="Calibri" w:hAnsi="Calibri"/>
          <w:b/>
          <w:color w:val="4A6B25"/>
          <w:sz w:val="20"/>
        </w:rPr>
        <w:t xml:space="preserve">3. </w:t>
      </w:r>
      <w:r>
        <w:rPr>
          <w:rFonts w:ascii="Calibri" w:hAnsi="Calibri"/>
          <w:b w:val="0"/>
          <w:color w:val="3A4A28"/>
          <w:sz w:val="20"/>
        </w:rPr>
        <w:t>Electrification and energy transition — long-term secular shift toward electric heating, municipal gas connection bans, and state-level climate legislation could erode gas distribution demand over a 10-20 year horizon, threatening the stranded asset risk for Atmos's 76,000 miles of gas mains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Atmos Energy's business — regulated natural gas distribution through 76,000 miles of underground pipelines to 3.4 million customers — is structurally immune to AI disruption [1][5]. AI cannot replace physical gas pipeline infrastructure, and the regulated monopoly structure means Atmos faces zero substitution risk from AI competitors in its franchised service territories. The business involves essential physical-world infrastructure (underground pipelines, storage facilities, distribution systems) that requires boots-on-the-ground field operations AI cannot perform. Additionally, growing AI data center demand increases electricity consumption, some of which is generated from natural gas, potentially increasing demand for Atmos's product. Regulatory barriers, long-lived physical assets, and government-approved service territories create an impenetrable moat against any technology-based disruption. AI Opportunity (0/1): No evidence of AI-generated revenue; Atmos does not sell AI products or services and has not disclosed AI-driven operational savings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Atmos Energy Q3 FY2026 Earnings — EPS $1.43, Revenue $879M (+4.8%), YTD EPS $7.33, Capex $3.1B, FY2026 Guidance $8.40-$8.50, Nasdaq/OpenCapital, August 2026</w:t>
      </w:r>
    </w:p>
    <w:p>
      <w:pPr>
        <w:spacing w:before="20" w:after="20"/>
        <w:ind w:left="170"/>
      </w:pPr>
      <w:r>
        <w:rPr>
          <w:rFonts w:ascii="Calibri" w:hAnsi="Calibri"/>
          <w:b/>
          <w:color w:val="4A6B25"/>
          <w:sz w:val="15"/>
        </w:rPr>
        <w:t xml:space="preserve">2. </w:t>
      </w:r>
      <w:r>
        <w:rPr>
          <w:rFonts w:ascii="Calibri" w:hAnsi="Calibri"/>
          <w:b w:val="0"/>
          <w:color w:val="3A4A28"/>
          <w:sz w:val="17"/>
        </w:rPr>
        <w:t>Atmos Energy Capital Investment and Rate Relief — $4.2B Annual Capex Plan, 85%+ Safety/Reliability, $355M Implemented Rate Outcomes, 13 Pending Filings Seeking ~$600M, Sure Dividend/Zacks, May-August 2026</w:t>
      </w:r>
    </w:p>
    <w:p>
      <w:pPr>
        <w:spacing w:before="20" w:after="20"/>
        <w:ind w:left="170"/>
      </w:pPr>
      <w:r>
        <w:rPr>
          <w:rFonts w:ascii="Calibri" w:hAnsi="Calibri"/>
          <w:b/>
          <w:color w:val="4A6B25"/>
          <w:sz w:val="15"/>
        </w:rPr>
        <w:t xml:space="preserve">3. </w:t>
      </w:r>
      <w:r>
        <w:rPr>
          <w:rFonts w:ascii="Calibri" w:hAnsi="Calibri"/>
          <w:b w:val="0"/>
          <w:color w:val="3A4A28"/>
          <w:sz w:val="17"/>
        </w:rPr>
        <w:t>NTSB Investigation — Jackson, Mississippi Gas Explosions January 2024, Atmos Underrated Known Leaks; Dallas Morning News Investigation Documenting Dozens of Texas Home Explosions Since 2006, 2018-2026</w:t>
      </w:r>
    </w:p>
    <w:p>
      <w:pPr>
        <w:spacing w:before="20" w:after="20"/>
        <w:ind w:left="170"/>
      </w:pPr>
      <w:r>
        <w:rPr>
          <w:rFonts w:ascii="Calibri" w:hAnsi="Calibri"/>
          <w:b/>
          <w:color w:val="4A6B25"/>
          <w:sz w:val="15"/>
        </w:rPr>
        <w:t xml:space="preserve">4. </w:t>
      </w:r>
      <w:r>
        <w:rPr>
          <w:rFonts w:ascii="Calibri" w:hAnsi="Calibri"/>
          <w:b w:val="0"/>
          <w:color w:val="3A4A28"/>
          <w:sz w:val="17"/>
        </w:rPr>
        <w:t>Atmos Energy Strategy and Culture — Infrastructure Modernization Focus, 'Operate Exceptionally, Invest in People and Infrastructure, Enhance Culture,' ESG Report, Comparably,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ATO Key Statistics, Forward P/E 18.24, D/E 67.7%, ROE 9.8%, Dividend Yield 2.43%,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