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ATPC</w:t>
      </w:r>
      <w:r>
        <w:rPr>
          <w:rFonts w:ascii="Calibri" w:hAnsi="Calibri"/>
          <w:b/>
          <w:color w:val="1A2010"/>
          <w:sz w:val="40"/>
        </w:rPr>
        <w:t xml:space="preserve">  Agape ATP Corporation</w:t>
      </w:r>
    </w:p>
    <w:p>
      <w:pPr>
        <w:spacing w:after="120"/>
      </w:pPr>
      <w:r>
        <w:rPr>
          <w:rFonts w:ascii="Calibri" w:hAnsi="Calibri"/>
          <w:b/>
          <w:color w:val="6E8450"/>
          <w:sz w:val="18"/>
        </w:rPr>
        <w:t>GROWTH SLEEVE · 2026-09-09 · Inspire: 58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Health &amp; Wellness Products · NASDAQ · Malaysia</w:t>
      </w:r>
    </w:p>
    <w:p>
      <w:pPr>
        <w:spacing w:after="80"/>
      </w:pPr>
      <w:r>
        <w:rPr>
          <w:rFonts w:ascii="Calibri" w:hAnsi="Calibri"/>
          <w:b w:val="0"/>
          <w:color w:val="3A4A28"/>
          <w:sz w:val="20"/>
        </w:rPr>
        <w:t>Agape ATP Corporation is a Malaysia-based investment holding company supplying health and wellness products, skin care, and health solution advisory services through a network-marketing model. The company also provides renewable energy products, installations, and maintenance services through subsidiary ATPC Green Energy. Listed on NASDAQ in 2023, it serves approximately 56,000 distributors and 72,000 members. Q2 2026 revenue collapsed to $13.7K (from $207K YoY) though net income of $149K was reported on one-time items. Accumulated deficit of $12.0M with going concern qualification. Regained NASDAQ minimum bid price compliance. Market cap approximately $2.4M.</w:t>
      </w:r>
    </w:p>
    <w:p>
      <w:r>
        <w:rPr>
          <w:rFonts w:ascii="Calibri" w:hAnsi="Calibri"/>
          <w:b/>
          <w:color w:val="6E8450"/>
          <w:sz w:val="18"/>
        </w:rPr>
        <w:t>18 Employees · https://www.atpc.com.my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ATPC has not launched any meaningful new products or business model transformations in the last 5 years — revenue collapsed from $5.7M in 2020 to $1.5M in 2025, and Q2 2026 revenue cratered to just $13.7K (from $207K in Q2 2025), a 93% quarterly decline [1][4]. The green energy segment and Citadel Investment LLC oil trading collaboration remain aspirational with no material revenue contribution. AI Deployment (0/2): No evidence of AI deployment in products or operations; the company has 18 employees and operates a traditional network-marketing distribution model in Malaysia [2]. Market Share (1/2): ATPC serves 56,465 distributors and 72,201 members in Malaysia's health and wellness market, but with collapsing revenue it holds negligible share in a fragmented industry [1]. Pipeline (0/2): The planned digital wellness platform, renewable energy expansion, and oil/gas trading lack specific timelines, revenue visibility, or product details [1][2]. R&amp;D Intensity (1/1): The company claims investment in ionized nutrients and health formulas relative to its tiny revenue base, though specific R&amp;D spending is not disclosed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ATPC's mission to 'promote improved health and longevity through scientific innovation, modern medicine, proper nutrition, and skilled nutritionists' is specific to its domain and articulates a health-improvement purpose [2]. However, the network-marketing model and diversification into oil trading raise questions about whether the mission drives strategy or serves as marketing. Community Impact (1/2): The company promotes wellness through online editorials, programs, events, and campaigns, and the Agape name itself references charitable love, but no specific dollar amounts or distinctive community investment are documented [2]. Employee Retention (0/2): With only 18 full-time employees and no retention data available, this item cannot be scored [1]. Insider Buying (0/2): No evidence of meaningful insider buying; the recent approval of 46 million new shares at $0.50 each represents massive dilution rather than insider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30,735 shares x stock price of $2.44 = $74,993, far below the $1,000,000 minimum liquidity threshold [3]. Infrastructure score is automatically set to 0 regardless of other metrics. Underlying financials have deteriorated further: Q2 2026 revenue collapsed to just $13,693 (from $207,029 in Q2 2025, a 93.4% decline), though the company reported net income of $149.4K on what appear to be one-time items [4]. H1 2026 net loss of $191,469 with $505,088 cash used in operations. Accumulated deficit of $11.97M with auditors issuing a going concern qualification [4]. The company regained NASDAQ minimum bid price compliance after earlier non-compliance notice. The 52-week range of $0.05 to $8.34 reflects extreme penny stock volatility.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ATPC shows limited evidence of infinite game thinking. The company is focused on survival — regaining NASDAQ compliance, authorizing massive share dilution, and exploring new revenue streams like green energy and oil trading while the core health business shrinks. Strategic decisions appear reactive rather than purpose-driven, and the frequent pivots to new segments suggest opportunism rather than a consistent long-term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ATPC articulates a cause around health and longevity through scientific innovation, but the rapid expansion into unrelated areas — green energy and oil/gas petrochemical trading with Citadel Investment LLC — suggests the cause is not shaping strategic decisions [2]. A company genuinely committed to health innovation would not pivot to petroleum trading. The cause reads as marketing rather than a strategic compass.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18 full-time employees and a heavy reliance on 56,000+ independent distributors, ATPC has minimal internal organizational structure to evaluate for trust [1]. The network-marketing model inherently creates external contractor relationships rather than empowered teams. Multiple material weaknesses in internal controls over financial reporting suggest governance challenges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ATPC acknowledging or learning from competitors in the Malaysian health and wellness market. The company's strategic language focuses on expanding into new segments (green energy, oil trading) rather than improving core health and wellness capabilities relative to competitors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ATPC has expanded beyond its original health and wellness focus into green energy and cross-border petrochemical trading with Dubai-based Citadel Investment LLC [2][3]. While this demonstrates willingness to explore new business models, the pivots appear opportunistic rather than purpose-driven — the health-to-oil-trading shift is disconnected from the founding cause. Sinek would distinguish between existential flexibility (pivoting to advance the cause) and strategic wandering.</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short-term results for long-term capability [1]. The NASDAQ listing in 2023 was an ambitious move for a Malaysian micro-cap, but the company's subsequent financial deterioration (going concern, negative cash flow) suggests the capital raise has not translated into strategic investment. The authorization of 46 million new shares at $0.50 prioritizes survival over building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ATPC is a micro-cap ($2.4M market cap) Malaysian health and wellness company facing severe revenue deterioration — Q2 2026 revenue collapsed 93.4% YoY to just $13.7K from $207K, though net income of $149.4K was reported on apparent one-time items [4]. The established distributor network of 56,000+ members and the green energy segment provide optionality if core business stabilizes. The company regained NASDAQ minimum bid price compliance, removing the immediate delisting threat [3]. The collaboration with Citadel Investment LLC on cross-border oil/gas trading and ATPC Green Energy could theoretically open new revenue streams [2].</w:t>
      </w:r>
    </w:p>
    <w:p>
      <w:pPr>
        <w:spacing w:after="120"/>
      </w:pPr>
      <w:r>
        <w:rPr>
          <w:rFonts w:ascii="Calibri" w:hAnsi="Calibri"/>
          <w:b w:val="0"/>
          <w:color w:val="3A4A28"/>
          <w:sz w:val="20"/>
        </w:rPr>
        <w:t>The bear case is overwhelming. Q2 2026 revenue of just $13.7K represents a near-total collapse of core business operations, with the quarterly run rate implying approximately $55K annualized revenue — a 96% decline from FY2025's $1.52M [4]. H1 2026 net loss of $191K with $505K cash used in operations continues the cash burn. The accumulated deficit of $12.0M and going concern qualification signal existential risk [4]. Average daily trading volume of only 30,735 shares ($75K daily dollar volume) makes position entry/exit extremely difficult. The authorization of 46 million new shares at $0.50 represents catastrophic dilution risk on a $2.4M market cap. The 52-week price range of $0.05 to $8.34 reflects extreme speculative volatility characteristic of penny stocks. With 18 employees, no analyst coverage, and collapsing core revenue, this is a speculative micro-cap unsuitable for institutional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Green energy segment and Citadel Investment LLC collaboration for cross-border oil/gas trading could generate new revenue streams, though no timelines or financial projections have been provided [2]</w:t>
      </w:r>
    </w:p>
    <w:p>
      <w:pPr>
        <w:spacing w:before="40" w:after="40"/>
        <w:ind w:left="283"/>
      </w:pPr>
      <w:r>
        <w:rPr>
          <w:rFonts w:ascii="Calibri" w:hAnsi="Calibri"/>
          <w:b/>
          <w:color w:val="4A6B25"/>
          <w:sz w:val="20"/>
        </w:rPr>
        <w:t xml:space="preserve">2. </w:t>
      </w:r>
      <w:r>
        <w:rPr>
          <w:rFonts w:ascii="Calibri" w:hAnsi="Calibri"/>
          <w:b w:val="0"/>
          <w:color w:val="3A4A28"/>
          <w:sz w:val="20"/>
        </w:rPr>
        <w:t>Revenue stabilization and recovery from the Q2 2026 collapse ($13.7K) back toward FY2025 quarterly run rate (~$380K) would demonstrate the core distributor network remains viable [4]</w:t>
      </w:r>
    </w:p>
    <w:p>
      <w:pPr>
        <w:spacing w:before="40" w:after="40"/>
        <w:ind w:left="283"/>
      </w:pPr>
      <w:r>
        <w:rPr>
          <w:rFonts w:ascii="Calibri" w:hAnsi="Calibri"/>
          <w:b/>
          <w:color w:val="4A6B25"/>
          <w:sz w:val="20"/>
        </w:rPr>
        <w:t xml:space="preserve">3. </w:t>
      </w:r>
      <w:r>
        <w:rPr>
          <w:rFonts w:ascii="Calibri" w:hAnsi="Calibri"/>
          <w:b w:val="0"/>
          <w:color w:val="3A4A28"/>
          <w:sz w:val="20"/>
        </w:rPr>
        <w:t>NASDAQ minimum bid price compliance has been regained, removing the immediate delisting overhang and maintaining U.S. listing access for the Malaysian company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qualification with accumulated deficit of $12.0M and H1 2026 operating cash burn of $505K creates existential risk — Q2 revenue collapse to $13.7K suggests core business may be failing [4]</w:t>
      </w:r>
    </w:p>
    <w:p>
      <w:pPr>
        <w:spacing w:before="40" w:after="40"/>
        <w:ind w:left="283"/>
      </w:pPr>
      <w:r>
        <w:rPr>
          <w:rFonts w:ascii="Calibri" w:hAnsi="Calibri"/>
          <w:b/>
          <w:color w:val="4A6B25"/>
          <w:sz w:val="20"/>
        </w:rPr>
        <w:t xml:space="preserve">2. </w:t>
      </w:r>
      <w:r>
        <w:rPr>
          <w:rFonts w:ascii="Calibri" w:hAnsi="Calibri"/>
          <w:b w:val="0"/>
          <w:color w:val="3A4A28"/>
          <w:sz w:val="20"/>
        </w:rPr>
        <w:t>Revenue collapse of 93.4% YoY in Q2 2026 (from $207K to $13.7K) suggests potential structural failure of the distributor network or loss of key customers, not merely seasonal weakness [4]</w:t>
      </w:r>
    </w:p>
    <w:p>
      <w:pPr>
        <w:spacing w:before="40" w:after="40"/>
        <w:ind w:left="283"/>
      </w:pPr>
      <w:r>
        <w:rPr>
          <w:rFonts w:ascii="Calibri" w:hAnsi="Calibri"/>
          <w:b/>
          <w:color w:val="4A6B25"/>
          <w:sz w:val="20"/>
        </w:rPr>
        <w:t xml:space="preserve">3. </w:t>
      </w:r>
      <w:r>
        <w:rPr>
          <w:rFonts w:ascii="Calibri" w:hAnsi="Calibri"/>
          <w:b w:val="0"/>
          <w:color w:val="3A4A28"/>
          <w:sz w:val="20"/>
        </w:rPr>
        <w:t>$24.1M deposit with Bi Cheng Investment Management represents 97% of total assets — concentration risk in a single counterparty with limited public transparency on investment performance or recovery terms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ATPC's core health and wellness network-marketing business has mixed AI exposure. The physical products — ionized nutrients, supplements, skincare — cannot be replaced by AI [2]. However, the network-marketing distribution model that is central to ATPC's revenue generation faces substitution risk from AI-powered health advisory apps, personalized nutrition platforms, and AI health coaches that could bypass human distributors [2]. The green energy segment (solar installations, maintenance) involves physical work that AI cannot replace. The company's tiny scale (18 employees, $1.5M revenue) limits its ability to invest in defensive AI capabilities, and AI-powered e-commerce platforms could further compress margins for undifferentiated supplement distributors [1]. AI Opportunity (0/1): No evidence of AI product development or AI-generated revenue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Agape ATP Corporation Q1 2026 10-Q Filing — $273,658 revenue, $340,906 net loss, going concern qualification, via StockTitan, 2026</w:t>
      </w:r>
    </w:p>
    <w:p>
      <w:pPr>
        <w:spacing w:before="20" w:after="20"/>
        <w:ind w:left="170"/>
      </w:pPr>
      <w:r>
        <w:rPr>
          <w:rFonts w:ascii="Calibri" w:hAnsi="Calibri"/>
          <w:b/>
          <w:color w:val="4A6B25"/>
          <w:sz w:val="15"/>
        </w:rPr>
        <w:t xml:space="preserve">2. </w:t>
      </w:r>
      <w:r>
        <w:rPr>
          <w:rFonts w:ascii="Calibri" w:hAnsi="Calibri"/>
          <w:b w:val="0"/>
          <w:color w:val="3A4A28"/>
          <w:sz w:val="17"/>
        </w:rPr>
        <w:t>Agape ATP Corporation website, press releases, and company profile — mission, product lines, Citadel Investment collaboration, ATPC Green Energy, atpc.com.my,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ATPC key statistics, $2.44 price, 30,735 avg daily volume, NASDAQ compliance regained,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Agape ATP Corporation Q2 2026 10-Q Filing — Revenue $13,693 (down 93.4% from $207,029 YoY), Net Income $149.4K, H1 2026 Net Loss $191K, Cash Used $505K, Accumulated Deficit $11.97M, GlobeNewswire/TradingView,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