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AUGO</w:t>
      </w:r>
      <w:r>
        <w:rPr>
          <w:rFonts w:ascii="Calibri" w:hAnsi="Calibri"/>
          <w:b/>
          <w:color w:val="1A2010"/>
          <w:sz w:val="40"/>
        </w:rPr>
        <w:t xml:space="preserve">  Aura Minerals Inc.</w:t>
      </w:r>
    </w:p>
    <w:p>
      <w:pPr>
        <w:spacing w:after="120"/>
      </w:pPr>
      <w:r>
        <w:rPr>
          <w:rFonts w:ascii="Calibri" w:hAnsi="Calibri"/>
          <w:b/>
          <w:color w:val="6E8450"/>
          <w:sz w:val="18"/>
        </w:rPr>
        <w:t>DIVIDEND SLEEVE · 2026-10-01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NASDAQ · United States</w:t>
      </w:r>
    </w:p>
    <w:p>
      <w:pPr>
        <w:spacing w:after="80"/>
      </w:pPr>
      <w:r>
        <w:rPr>
          <w:rFonts w:ascii="Calibri" w:hAnsi="Calibri"/>
          <w:b w:val="0"/>
          <w:color w:val="3A4A28"/>
          <w:sz w:val="20"/>
        </w:rPr>
        <w:t>Aura Minerals Inc. is a mid-tier gold and copper production company operating five mines across the Americas: Minosa (Honduras), Apoena, Almas, Borborema, and Serra Grande (Brazil), and the Aranzazu copper-gold-silver mine (Mexico). Founded in 1946 and headquartered in Coconut Grove, Florida, the company operates under CEO Rodrigo Barbosa's 360-degree Mining concept integrating stakeholder value across shareholders, employees, and communities. Aura delivered record H1 2026 revenue of $718.6M (up 104% YoY) and is targeting 340k–390k GEO for full-year 2026 with a path toward 600k GEO annual production.</w:t>
      </w:r>
    </w:p>
    <w:p>
      <w:r>
        <w:rPr>
          <w:rFonts w:ascii="Calibri" w:hAnsi="Calibri"/>
          <w:b/>
          <w:color w:val="6E8450"/>
          <w:sz w:val="18"/>
        </w:rPr>
        <w:t>5,000 Employees · https://www.auraminerals.com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Since CEO Barbosa's appointment in 2017, Aura has executed a dramatic operational transformation — production increased over 170%, driven by successful acquisitions including Serra Grande from AngloGold Ashanti and the Borborema mine development, contributing to a 104% H1 2026 revenue increase to $718.6M [1]. The Era Dorada and Matupa projects are expected to push production toward 600k GEO annually. AI Deployment (1/2): The Automet project at Aranzazu deployed AI to cut input costs by approximately 16% in six months and improve metallurgical recovery, while global efficiency initiatives generated US$45.6M in savings [2][3]. Market Share (0/2): Mid-tier gold producer with no category leadership or dominant share position in the fragmented gold mining industry. Product Pipeline (1/2): Era Dorada expansion with advanced water treatment, Matupa development, and Borborema ramp-up have specific timelines and production targets, with 2026 guidance of 340k–390k GEO and a long-term path to 600k GEO [1]. R&amp;D Intensity (0/1): Mining operations are capital-intensive rather than R&amp;D-intensive; no evidence of above-peer exploration spending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Aura's mission to 'find, mine and deliver the planet's most important and essential minerals that enable the world and humankind to create, innovate, and prosper' is specific and thoughtful, connecting mining to a larger purpose through the 360-degree Mining concept [2]. The framework explicitly integrates stakeholders beyond shareholders, differentiating from generic mining company positioning. Community Impact (1/2): Aura received the Socially Responsible Company (ESR) Seal for Aranzazu and Minosa for consecutive years, achieved World Gold Council RGMP and Conflict-Free Gold Standard compliance in 2024, reports zero lost-time accidents in multiple years, and uses predominantly renewable electricity across operations [3][4]. Employee Retention (1/2): CEO Barbosa dismantled hierarchical mining culture by creating open-plan offices and restructuring management interactions; Glassdoor reviews (3.9/5) cite 'fantastic culture' and strong leadership [2]. CEO tenure since 2017 provides continuity but no specific turnover data. Insider Buying (0/2): Insider ownership of 51.15% demonstrates extraordinary alignment, but no evidence of net insider buying transactions in the last 12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Aura's financial profile is exceptional in the current gold price environment, with TTM revenue of $1.29B (up 76.4% YoY), ROE of 100.2%, profit margin of 23.2%, and forward P/E of 9.68 — all scoring at or above target levels [1][5]. D/E of 100.3% is elevated but improved from 142.5% in August, scoring 0.87. Revenue growth 5yr CAGR of approximately 30% reflects the production transformation. The dividend profile is mixed: 5 consecutive years paid (score 0.5, 2× weight), 4 years of growth (score 0.4), payout ratio of 63% (score 0.62), and 5yr dividend growth CAGR of 17.38% scores at target (2× weight). Daily dollar volume of ~$77M provides ample liquidity. Weighted sum 9.89 / max 12 = 8.2, rounds to 8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Aura Minerals under CEO Barbosa shows genuine infinite-game characteristics, particularly in its stakeholder-oriented 360-degree Mining framework and deliberate cultural transformation of traditional mining hierarchy. The company invests in long-term mine development while maintaining operational discipline. However, the Just Cause is relatively recent (2017) and untested through a major commodity downturn, and the company's competitive posture lacks evidence of the introspective rival awareness Sinek values.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360-degree Mining concept articulates a distinctive purpose connecting mining to enabling human progress — 'find, mine and deliver minerals that enable the world to create, innovate, and prosper' — validated by specific strategic decisions including the cultural restructuring under Barbosa and integration of ESG into operational frameworks [2]. However, Barbosa's tenure began only in 2017 and the cause has not been tested through a major commodity downturn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Barbosa deliberately dismantled hierarchical mining culture by creating open-plan offices and restructuring senior-junior management interactions, earning Glassdoor reviews citing 'the CEO cares about his employees' and 'fantastic culture' [2]. Zero lost-time accidents in multiple years suggests strong operational safety culture. However, the company's geographic dispersion across three countries limits visibility into team trust at all levels.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management acknowledging competitors' strengths or using competitive pressure as motivation for self-improvement. The Mining Forum Americas 2026 presentation focused on Aura's own growth trajectory toward 600k GEO rather than learning from rivals like Barrick, Newmont, or Agnico Eagle [1]. Mining industry language tends toward production metrics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Aura has evolved from a struggling single-mine operator to a diversified five-mine company across three countries and multiple commodities (gold, copper, silver), with the Automet AI initiative representing technological adaptation [1][3]. These represent meaningful evolution but are incremental portfolio expansions within mining rather than transformative pivots that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Barbosa's decision to overhaul mining management culture was a courageous departure from industry norms, and continued investment in Era Dorada development with community-aligned water treatment and Matupa projects demonstrates long-term commitment [1][2]. The Serra Grande acquisition from AngloGold Ashanti was a bold bet for a mid-tier producer. However, with gold at record highs, current investments carry less relative financial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Aura Minerals at 9.7x forward earnings offers compelling value for a gold and copper producer delivering record results — H1 2026 revenue of $718.6M (up 104% YoY) with adjusted EBITDA of $440.5M (up 135% YoY) represents 12 consecutive quarters of EBITDA growth [1]. Production growth from ~130k GEO in 2018 to a 2026 target of 340k–390k GEO, with a clear path toward 600k GEO annually via Era Dorada and Matupa, provides multi-year volume growth. ROE of 100.2%, profit margin of 23.2%, and free cash flow of $403M support both the 3.35% dividend yield and continued development investment. The Automet AI initiative delivering $45.6M in efficiency savings demonstrates operational discipline beyond commodity price tailwinds [3][5].</w:t>
      </w:r>
    </w:p>
    <w:p>
      <w:pPr>
        <w:spacing w:after="120"/>
      </w:pPr>
      <w:r>
        <w:rPr>
          <w:rFonts w:ascii="Calibri" w:hAnsi="Calibri"/>
          <w:b w:val="0"/>
          <w:color w:val="3A4A28"/>
          <w:sz w:val="20"/>
        </w:rPr>
        <w:t>The bear case centers on commodity price dependence and execution risk. Gold prices above $2,400/oz drive the exceptional current profitability — 2026 AISC guidance of $1,720–$1,865/oz leaves limited margin cushion at lower gold prices, and the company posted net losses in both FY2024 (-$30.3M) and FY2025 (-$79.3M) when gold was lower [1][5]. D/E of 100.3% represents meaningful leverage for a cyclical commodity producer. The 170% production growth story requires continued successful mine development — Borborema ramp-up, Serra Grande cost optimization, and Era Dorada permitting each carry project-specific risks across three Latin American jurisdictions. The stock trades at a 29% discount to its 52-week high of $110.32, suggesting the market may be pricing in commodity price reversion risk. Beta of 0.36 belies the cyclical nature of the underlying commodity exposure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600k GEO annual production through Era Dorada, Matupa, and continued Borborema ramp-up provides multi-year volume growth beyond the 2026 target of 340k–390k GEO [1]</w:t>
      </w:r>
    </w:p>
    <w:p>
      <w:pPr>
        <w:spacing w:before="40" w:after="40"/>
        <w:ind w:left="283"/>
      </w:pPr>
      <w:r>
        <w:rPr>
          <w:rFonts w:ascii="Calibri" w:hAnsi="Calibri"/>
          <w:b/>
          <w:color w:val="4A6B25"/>
          <w:sz w:val="20"/>
        </w:rPr>
        <w:t xml:space="preserve">2. </w:t>
      </w:r>
      <w:r>
        <w:rPr>
          <w:rFonts w:ascii="Calibri" w:hAnsi="Calibri"/>
          <w:b w:val="0"/>
          <w:color w:val="3A4A28"/>
          <w:sz w:val="20"/>
        </w:rPr>
        <w:t>Record EBITDA trajectory with 12 consecutive quarters of growth and H1 2026 adjusted EBITDA of $440.5M (up 135% YoY) demonstrates exceptional operating leverage as production scales [1]</w:t>
      </w:r>
    </w:p>
    <w:p>
      <w:pPr>
        <w:spacing w:before="40" w:after="40"/>
        <w:ind w:left="283"/>
      </w:pPr>
      <w:r>
        <w:rPr>
          <w:rFonts w:ascii="Calibri" w:hAnsi="Calibri"/>
          <w:b/>
          <w:color w:val="4A6B25"/>
          <w:sz w:val="20"/>
        </w:rPr>
        <w:t xml:space="preserve">3. </w:t>
      </w:r>
      <w:r>
        <w:rPr>
          <w:rFonts w:ascii="Calibri" w:hAnsi="Calibri"/>
          <w:b w:val="0"/>
          <w:color w:val="3A4A28"/>
          <w:sz w:val="20"/>
        </w:rPr>
        <w:t>Automet AI and efficiency programs expanding across all five mines, targeting cost savings beyond the $45.6M achieved, could structurally lower AISC and improve margins independent of gold prices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dependence — AISC guidance of $1,720–$1,865/oz means a decline to $1,800/oz gold would compress margins to near-breakeven, and the company posted net losses in FY2024 and FY2025 at lower gold prices [1][5]</w:t>
      </w:r>
    </w:p>
    <w:p>
      <w:pPr>
        <w:spacing w:before="40" w:after="40"/>
        <w:ind w:left="283"/>
      </w:pPr>
      <w:r>
        <w:rPr>
          <w:rFonts w:ascii="Calibri" w:hAnsi="Calibri"/>
          <w:b/>
          <w:color w:val="4A6B25"/>
          <w:sz w:val="20"/>
        </w:rPr>
        <w:t xml:space="preserve">2. </w:t>
      </w:r>
      <w:r>
        <w:rPr>
          <w:rFonts w:ascii="Calibri" w:hAnsi="Calibri"/>
          <w:b w:val="0"/>
          <w:color w:val="3A4A28"/>
          <w:sz w:val="20"/>
        </w:rPr>
        <w:t>Execution risk across concurrent development projects — Era Dorada permitting with water treatment requirements, Matupa construction, and Serra Grande cost reduction face geological, regulatory, and community risks in three countries [1][4]</w:t>
      </w:r>
    </w:p>
    <w:p>
      <w:pPr>
        <w:spacing w:before="40" w:after="40"/>
        <w:ind w:left="283"/>
      </w:pPr>
      <w:r>
        <w:rPr>
          <w:rFonts w:ascii="Calibri" w:hAnsi="Calibri"/>
          <w:b/>
          <w:color w:val="4A6B25"/>
          <w:sz w:val="20"/>
        </w:rPr>
        <w:t xml:space="preserve">3. </w:t>
      </w:r>
      <w:r>
        <w:rPr>
          <w:rFonts w:ascii="Calibri" w:hAnsi="Calibri"/>
          <w:b w:val="0"/>
          <w:color w:val="3A4A28"/>
          <w:sz w:val="20"/>
        </w:rPr>
        <w:t>D/E of 100.3% with $458M in total debt is elevated for a cyclical commodity producer, limiting financial flexibility if gold prices correct or project timelines slip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and copper mining is a fundamentally physical-world operation requiring geological expertise, heavy equipment, extraction infrastructure, and processing facilities that AI structurally cannot displace [1]. Rising gold prices and copper demand driven by AI data center buildout actually make Aura a net beneficiary of AI infrastructure expansion. Regulatory compliance across Honduras, Brazil, and Mexico adds further structural protection against AI substitution. Analysts see zero displacement risk for mid-tier gold producers. AI Opportunity (1/1): The Automet AI project at Aranzazu delivered measurable results, cutting input costs by 16% and increasing metallurgical recovery, while global AI-driven efficiency initiatives generated US$45.6M in savings across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Aura Minerals Q2 2026 and H1 2026 Financial and Operational Results — Nasdaq Press Release, August 2026; Mining Forum Americas 2026 Transcript (Investing.com)</w:t>
      </w:r>
    </w:p>
    <w:p>
      <w:pPr>
        <w:spacing w:before="20" w:after="20"/>
        <w:ind w:left="170"/>
      </w:pPr>
      <w:r>
        <w:rPr>
          <w:rFonts w:ascii="Calibri" w:hAnsi="Calibri"/>
          <w:b/>
          <w:color w:val="4A6B25"/>
          <w:sz w:val="15"/>
        </w:rPr>
        <w:t xml:space="preserve">2. </w:t>
      </w:r>
      <w:r>
        <w:rPr>
          <w:rFonts w:ascii="Calibri" w:hAnsi="Calibri"/>
          <w:b w:val="0"/>
          <w:color w:val="3A4A28"/>
          <w:sz w:val="17"/>
        </w:rPr>
        <w:t>Rodrigo Barbosa CEO Profile and 360-Degree Mining Concept — Authority Magazine, CEO-NA Magazine, GlobeNewsWire December 2018</w:t>
      </w:r>
    </w:p>
    <w:p>
      <w:pPr>
        <w:spacing w:before="20" w:after="20"/>
        <w:ind w:left="170"/>
      </w:pPr>
      <w:r>
        <w:rPr>
          <w:rFonts w:ascii="Calibri" w:hAnsi="Calibri"/>
          <w:b/>
          <w:color w:val="4A6B25"/>
          <w:sz w:val="15"/>
        </w:rPr>
        <w:t xml:space="preserve">3. </w:t>
      </w:r>
      <w:r>
        <w:rPr>
          <w:rFonts w:ascii="Calibri" w:hAnsi="Calibri"/>
          <w:b w:val="0"/>
          <w:color w:val="3A4A28"/>
          <w:sz w:val="17"/>
        </w:rPr>
        <w:t>Aura Minerals Automet AI Initiative and Operational Efficiency — Company Disclosures, CEO-NA Interview, 2023–2026</w:t>
      </w:r>
    </w:p>
    <w:p>
      <w:pPr>
        <w:spacing w:before="20" w:after="20"/>
        <w:ind w:left="170"/>
      </w:pPr>
      <w:r>
        <w:rPr>
          <w:rFonts w:ascii="Calibri" w:hAnsi="Calibri"/>
          <w:b/>
          <w:color w:val="4A6B25"/>
          <w:sz w:val="15"/>
        </w:rPr>
        <w:t xml:space="preserve">4. </w:t>
      </w:r>
      <w:r>
        <w:rPr>
          <w:rFonts w:ascii="Calibri" w:hAnsi="Calibri"/>
          <w:b w:val="0"/>
          <w:color w:val="3A4A28"/>
          <w:sz w:val="17"/>
        </w:rPr>
        <w:t>Aura Minerals Sustainability Report 2024, RGMP/CFGS Compliance, ESR Seal — auraminerals.com</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AUGO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