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AU</w:t>
      </w:r>
      <w:r>
        <w:rPr>
          <w:rFonts w:ascii="Calibri" w:hAnsi="Calibri"/>
          <w:b/>
          <w:color w:val="1A2010"/>
          <w:sz w:val="40"/>
        </w:rPr>
        <w:t xml:space="preserve">  AngloGold Ashanti PLC</w:t>
      </w:r>
    </w:p>
    <w:p>
      <w:pPr>
        <w:spacing w:after="120"/>
      </w:pPr>
      <w:r>
        <w:rPr>
          <w:rFonts w:ascii="Calibri" w:hAnsi="Calibri"/>
          <w:b/>
          <w:color w:val="6E8450"/>
          <w:sz w:val="18"/>
        </w:rPr>
        <w:t>DIVIDEND SLEEVE · 2026-09-03 · Inspire: 30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NYSE · United Kingdom</w:t>
      </w:r>
    </w:p>
    <w:p>
      <w:pPr>
        <w:spacing w:after="80"/>
      </w:pPr>
      <w:r>
        <w:rPr>
          <w:rFonts w:ascii="Calibri" w:hAnsi="Calibri"/>
          <w:b w:val="0"/>
          <w:color w:val="3A4A28"/>
          <w:sz w:val="20"/>
        </w:rPr>
        <w:t>AngloGold Ashanti is a global gold mining company with operations and projects spanning four continents. Following its redomicile from South Africa to the UK and NYSE primary listing in 2024, the company operates mines in Africa (Ghana, Guinea, Tanzania), the Americas (Argentina, Brazil, Colombia), and Australia. H1 2026 net income reached $2.28B (roughly double prior year) with EBITDA of $4.27B (+51% YoY), benefiting from gold prices above $3,000/oz. The company declared a $2B share buyback and interim dividend of $0.72/share.</w:t>
      </w:r>
    </w:p>
    <w:p>
      <w:r>
        <w:rPr>
          <w:rFonts w:ascii="Calibri" w:hAnsi="Calibri"/>
          <w:b/>
          <w:color w:val="6E8450"/>
          <w:sz w:val="18"/>
        </w:rPr>
        <w:t>30,700 Employees · https://www.anglogoldashanti.com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AngloGold Ashanti has executed a significant corporate transformation over the past 5 years — completing the redomicile from South Africa to the UK, shifting its primary listing to the NYSE, divesting non-core assets including the Kibali stake, and investing in high-return brownfield expansions at Obuasi and Siguiri [1]. This portfolio transformation improved the asset quality and investor base while maintaining operational momentum across four continents. AI Deployment (0/2): No evidence of specific AI-powered products shipping to customers or quantified AI-driven cost savings. While the mining industry broadly uses machine learning for exploration and processing optimization, no AngloGold-specific AI deployment with measurable results was identified in research. Market Share (1/2): AngloGold ranks among the top 5 global gold producers by output with 2026 guidance implying approximately 3M ounces, representing a meaningful player in the global gold market though not the category leader (Newmont, Barrick are larger) [1]. Product Pipeline (2/2): Clear project pipeline includes Obuasi Phase 3 expansion in Ghana, the Merlin deposit in Nevada (one of the largest undeveloped gold deposits in North America), and Siguiri Block 1 underground development — each with defined capital budgets and production timelines providing multi-year growth visibility [1]. R&amp;D Intensity (0/1): Mining exploration spending, while meaningful, does not constitute R&amp;D in the traditional sense. No evidence of above-industry R&amp;D investment relative to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AngloGold Ashanti articulates a purpose centered on creating value through responsible mining, with explicit commitments to host community development, environmental stewardship, and leaving communities better off after mine closure [2]. The double materiality ESG framework introduced in 2024 integrates sustainability into strategic decision-making. The mission is specific and thoughtful for the mining sector but does not transcend the industry to articulate a transformative vision. Community Impact (2/2): Ranked 4th of 38 global mining companies in the Responsible Mining Index, and 1st among emerging market miners [2]. Significant community investment in host regions across Africa, with programs generating thousands of direct and indirect jobs, health infrastructure, and education access. The Board's Social, Ethics and Sustainability Committee provides governance oversight. Employee Retention (1/2): Stable workforce of 30,700 across four continents with improving safety records (LTIFR reductions YoY), suggesting adequate organizational health. However, no specific turnover or tenure data is publicly available to demonstrate exceptional retention. Insider Buying (0/2): Net insider selling of $17M in the last 12 months across 8 transactions, with CEO Alberto Calderon selling $4.1M in shares at $106/share [3]. No insider buying was reported during this period, signaling potential concerns about valuation at current gold price levels.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passes easily: avg daily volume of ~3.17M shares at $121 yields ~$383.6M daily dollar volume [3]. Mechanically scored on Dividend sleeve metrics. Core metrics: D/E of 23% is well below the 70% target, scoring 1.0 (1x). ROE of 34.45% far exceeds the 15% target, scoring 1.0 (1x). Revenue growth YoY of 23.7% exceeds the 10% target, scoring 1.0 (1x). Revenue growth 5yr CAGR of 14.9% exceeds the 10% target, scoring 1.0 (1x). Forward P/E of 11.48 is below the 20 target, scoring 1.0 (1x). Profit margin of 31.11% exceeds the 20% target, scoring 1.0 (1x). Dividend metrics: Payout ratio of 65.59% scores (100-65.59)/(100-40) = 0.574 (1x). Consecutive years paid of 10+ scores 1.0 (2x). Consecutive years growth of 2 scores (2-0)/(10-0) = 0.2 (1x). 5yr dividend growth CAGR of ~15% (driven by gold price surge) exceeds the 6% target, scoring 1.0 (2x). Weighted sum: 1+1+1+1+1+1+0.574+2+0.2+2 = 10.774 / 12 x 10 = 9.0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AngloGold Ashanti demonstrates meaningful infinite-game characteristics under CEO Alberto Calderon — the transformative redomicile from South Africa to the UK was a genuinely courageous strategic decision that reshaped the company's future at the cost of significant political opposition. The multi-decade mine development pipeline (Obuasi, Merlin, Siguiri) and strong ESG commitment reflected in the Responsible Mining Index ranking (4th globally) show long-term orientation. However, the cyclical gold price environment creates finite-game pressure to maximize near-term cash flow, and the $17M in net insider selling suggests leadership may be optimizing for current valuations rather than expressing unlimited long-term conviction.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AngloGold articulates a purpose centered on responsible value creation through mining, with explicit commitments to leaving host communities better off after mine closure [2]. The double materiality ESG framework, 4th-place Responsible Mining Index ranking, and community investment programs across Africa demonstrate a cause that is genuine and partially lived. The Obuasi redevelopment exemplifies this — the company invested in community infrastructure, health programs, and local employment alongside the mine restart [1]. However, responsible mining is a widely shared purpose among major miners (Newmont, Barrick articulate similar commitments), and the cause has not been tested through a gold price downturn under Calderon's leadership.</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Calderon has built a stable leadership team that successfully executed the complex redomicile and NYSE listing while maintaining operational momentum across geographically dispersed operations spanning four continents [1]. Safety metrics have improved consistently with LTIFR reductions YoY, suggesting a culture of mutual accountability on mine sites. The workforce of 30,700 employees has remained stable through the corporate transformation. However, mining operations inherently involve hierarchical management structures, and no specific evidence of exceptional employee empowerment or trust-building initiatives beyond industry norms was identified.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AngloGold benchmarks itself constructively against Newmont, Barrick, and Gold Fields, referencing peer cost curves, operational benchmarks, and ESG performance to drive internal improvement [1]. The Merlin project in Nevada positions the company to compete directly with North American producers on their home turf, treating competitive entry as a growth catalyst. Management commentary focuses on achieving sector-leading EBITDA margins and free cash flow rather than destroying competitors, reflecting an improvement-oriented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redomicile from South Africa to the UK and NYSE primary listing represents a genuinely transformative corporate action — fundamentally reshaping the company's investor base, governance framework, regulatory environment, and strategic positioning [1]. This required abandoning a 25-year JSE heritage and navigating significant political opposition from the South African government, demonstrating willingness to make uncomfortable structural changes in service of long-term positioning. This is the kind of painful, identity-altering pivot Sinek describes — AngloGold chose to become a different kind of company to remain relevant.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Calderon demonstrated meaningful courage in pushing through the redomicile against significant political opposition in South Africa, and in maintaining capital discipline during the gold price surge — declaring record dividends and a $2B buyback rather than overpaying for acquisitions as many peer gold miners have done historically [1]. The decision to return capital rather than empire-build reflects principled capital allocation. However, the $17M in net insider selling by executives during a period of record profitability raises questions about long-term conviction at current price levels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AngloGold Ashanti delivers exceptional financial performance in an elevated gold price environment — H1 2026 net income of $2.28B (approximately double prior year), EBITDA of $4.27B (+51% YoY), and record free cash flow driven by gold prices above $3,000/oz [1]. The company trades at a compelling forward P/E of 11.48x despite 34.45% ROE, 31.11% profit margin, and conservative 23% D/E ratio — a value anomaly relative to the quality of the asset base and cash generation. The $2B share buyback program and interim dividend of $0.72/share signal management commitment to shareholder returns, while the low-risk balance sheet preserves flexibility for the Merlin deposit development in Nevada. Revenue growth of 23.7% YoY and 14.9% 5yr CAGR demonstrate sustained momentum beyond a single commodity cycle. The Inspire Impact Score of 30 (ALIGNED) supports faith-based allocation.</w:t>
      </w:r>
    </w:p>
    <w:p>
      <w:pPr>
        <w:spacing w:after="120"/>
      </w:pPr>
      <w:r>
        <w:rPr>
          <w:rFonts w:ascii="Calibri" w:hAnsi="Calibri"/>
          <w:b w:val="0"/>
          <w:color w:val="3A4A28"/>
          <w:sz w:val="20"/>
        </w:rPr>
        <w:t>The bear case centers on gold price cyclicality and the durability of current earnings. At $121/share and $3,000+ gold prices, much of the upside is already priced into the stock — a reversion to $2,500/oz gold would compress margins significantly and reduce the earnings power that justifies the current valuation. H1 2026 headline earnings of $1B in Q2 (+58%) are driven almost entirely by the 35% higher average gold price rather than operational improvements, meaning earnings quality is commodity-dependent [1]. Net insider selling of $17M in the last 12 months — including CEO Calderon's $4.1M sale — suggests leadership views the stock as fully valued [3]. Geopolitical risk persists across African operations (Ghana, Guinea, Tanzania), where regulatory changes, community disputes, or political instability could disrupt production. The payout ratio of 65.59% and only 2 consecutive years of dividend growth highlight the cyclical nature of mining dividends — the 5yr dividend growth CAGR of ~15% is inflated by the recent gold surge and may not be sustainable if prices normalize. Execution risk on the Merlin development timeline and capital budget adds uncertainty to the long-term growth story.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gold prices above $3,000/oz driving continued record free cash flow generation and supporting the $2B share buyback program and growing dividend through 2026-2027 [1]</w:t>
      </w:r>
    </w:p>
    <w:p>
      <w:pPr>
        <w:spacing w:before="40" w:after="40"/>
        <w:ind w:left="283"/>
      </w:pPr>
      <w:r>
        <w:rPr>
          <w:rFonts w:ascii="Calibri" w:hAnsi="Calibri"/>
          <w:b/>
          <w:color w:val="4A6B25"/>
          <w:sz w:val="20"/>
        </w:rPr>
        <w:t xml:space="preserve">2. </w:t>
      </w:r>
      <w:r>
        <w:rPr>
          <w:rFonts w:ascii="Calibri" w:hAnsi="Calibri"/>
          <w:b w:val="0"/>
          <w:color w:val="3A4A28"/>
          <w:sz w:val="20"/>
        </w:rPr>
        <w:t>Obuasi Phase 3 and Siguiri Block 1 underground development ramping production toward the upper end of guidance, demonstrating organic growth beyond gold price tailwinds [1]</w:t>
      </w:r>
    </w:p>
    <w:p>
      <w:pPr>
        <w:spacing w:before="40" w:after="40"/>
        <w:ind w:left="283"/>
      </w:pPr>
      <w:r>
        <w:rPr>
          <w:rFonts w:ascii="Calibri" w:hAnsi="Calibri"/>
          <w:b/>
          <w:color w:val="4A6B25"/>
          <w:sz w:val="20"/>
        </w:rPr>
        <w:t xml:space="preserve">3. </w:t>
      </w:r>
      <w:r>
        <w:rPr>
          <w:rFonts w:ascii="Calibri" w:hAnsi="Calibri"/>
          <w:b w:val="0"/>
          <w:color w:val="3A4A28"/>
          <w:sz w:val="20"/>
        </w:rPr>
        <w:t>Merlin deposit in Nevada advancing through permitting — one of the largest undeveloped gold deposits in North America in a Tier 1 jurisdiction, providing multi-decade production optionality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Gold price reversion below $2,500/oz would compress margins significantly given industry AISC of $1,780-$1,990/oz, potentially reducing earnings by 40-50% and threatening the sustainability of current dividend and buyback levels [1]</w:t>
      </w:r>
    </w:p>
    <w:p>
      <w:pPr>
        <w:spacing w:before="40" w:after="40"/>
        <w:ind w:left="283"/>
      </w:pPr>
      <w:r>
        <w:rPr>
          <w:rFonts w:ascii="Calibri" w:hAnsi="Calibri"/>
          <w:b/>
          <w:color w:val="4A6B25"/>
          <w:sz w:val="20"/>
        </w:rPr>
        <w:t xml:space="preserve">2. </w:t>
      </w:r>
      <w:r>
        <w:rPr>
          <w:rFonts w:ascii="Calibri" w:hAnsi="Calibri"/>
          <w:b w:val="0"/>
          <w:color w:val="3A4A28"/>
          <w:sz w:val="20"/>
        </w:rPr>
        <w:t>Geopolitical risk across West African operations (Ghana, Guinea, Tanzania) including regulatory changes, community disputes, artisanal mining conflicts, or political instability that could disrupt production at key assets like Obuasi</w:t>
      </w:r>
    </w:p>
    <w:p>
      <w:pPr>
        <w:spacing w:before="40" w:after="40"/>
        <w:ind w:left="283"/>
      </w:pPr>
      <w:r>
        <w:rPr>
          <w:rFonts w:ascii="Calibri" w:hAnsi="Calibri"/>
          <w:b/>
          <w:color w:val="4A6B25"/>
          <w:sz w:val="20"/>
        </w:rPr>
        <w:t xml:space="preserve">3. </w:t>
      </w:r>
      <w:r>
        <w:rPr>
          <w:rFonts w:ascii="Calibri" w:hAnsi="Calibri"/>
          <w:b w:val="0"/>
          <w:color w:val="3A4A28"/>
          <w:sz w:val="20"/>
        </w:rPr>
        <w:t>Net insider selling of $17M in the last 12 months with CEO selling $4.1M suggests management views the stock as fully valued at current gold prices, potentially signaling limited upside from current levels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Gold mining is a physically intensive extraction industry with structural immunity to AI substitution — the core business of finding, extracting, and processing gold ore requires capital-intensive infrastructure, geological expertise, regulatory relationships, and physical operations spanning underground mines, open pits, and processing plants that AI cannot replicate or displace [1]. Demand for gold is driven by macroeconomic factors, central bank policy, and geopolitical uncertainty rather than technology dynamics. AI may modestly improve exploration efficiency for all miners, but this represents a levelizing benefit rather than a disruption risk. No analysts have flagged AI as a substitution threat to gold mining companies. AI Opportunity (0/1): AngloGold does not generate quantifiable revenue from AI products or services. While the mining industry broadly uses machine learning for orebody modeling and processing optimization, no specific AI-driven revenue stream was identified in AngloGold's financial disclosures or investor communications.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AngloGold Ashanti H1 2026 Results — Net Income $2.28B, EBITDA $4.27B (+51%), Q2 Headline Earnings $1B (+58%), Interim Dividend $0.72/share, $2B Buyback Program; Quiver Quantitative,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AngloGold Ashanti Corporate Profile — Responsible Mining Index #4 of 38 Globally, Double Materiality ESG Framework, Community Programs, Leadership; Company Website, MatrixBCG Analysis,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StockAnalysis.com, Yahoo Finance, TipRanks — AU Key Statistics: Forward P/E 11.48, D/E 23%, ROE 34.45%, Profit Margin 31.11%, Dividend Yield 2.74%, Payout Ratio 65.59%, Avg Volume 3.17M, Stock Price $121; Insider Selling $17M (12 months);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