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AVAV</w:t>
      </w:r>
      <w:r>
        <w:rPr>
          <w:rFonts w:ascii="Calibri" w:hAnsi="Calibri"/>
          <w:b/>
          <w:color w:val="1A2010"/>
          <w:sz w:val="40"/>
        </w:rPr>
        <w:t xml:space="preserve">  AeroVironment, Inc.</w:t>
      </w:r>
    </w:p>
    <w:p>
      <w:pPr>
        <w:spacing w:after="120"/>
      </w:pPr>
      <w:r>
        <w:rPr>
          <w:rFonts w:ascii="Calibri" w:hAnsi="Calibri"/>
          <w:b/>
          <w:color w:val="6E8450"/>
          <w:sz w:val="18"/>
        </w:rPr>
        <w:t>GROWTH SLEEVE · 2026-09-13 · Inspire: 45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AeroVironment designs, develops, produces, and supports robotic systems and defense technology for military and commercial applications. The company operates in Autonomous Systems (small/medium UAS, loitering munitions including Switchblade 300/600, counter-UAS systems) and Space, Cyber and Directed Energy (digital beamforming, laser communications, phased array antennas) following the BlueHalo integration. Products include the Switchblade precision strike system battle-proven in Ukraine, Puma and Raven small UAS, JUMP 20 medium UAS, and the AI-powered AV_Halo command and control platform. Record FY2026 revenue of $1,976.8M (+141% YoY, 26% organic) with FY2027 guidance of $2.125-2.225B. Founded in 1971, headquartered in Arlington, Virginia.</w:t>
      </w:r>
    </w:p>
    <w:p>
      <w:r>
        <w:rPr>
          <w:rFonts w:ascii="Calibri" w:hAnsi="Calibri"/>
          <w:b/>
          <w:color w:val="6E8450"/>
          <w:sz w:val="18"/>
        </w:rPr>
        <w:t>4,091 Employees · https://www.avinc.com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AeroVironment has executed one of the most dramatic transformations in defense history under CEO Nawabi (since 2016), driving eightfold revenue growth through multiple successful product launches — Switchblade 600 (creating a new loitering munition category), AV_Halo AI platform — the transformative $4.4B BlueHalo acquisition, and combat-proven performance across 50+ allied nations [1][2]. FY2026 revenue reached a record $1,976.8M (+141% YoY, 26% organic), and Q1 FY2027 delivered $480.5M (+6% YoY on a comparable basis) [1]. AI Deployment (1/2): AV_Halo is an AI-powered modular command and control platform deployed to warfighters, and HaloCortex OSINT provides AI-powered intelligence analysis for DoD and commercial customers [3]. CEO Nawabi is accelerating AI and autonomy integration across AeroVironment's platforms post-BlueHalo integration. However, AI-attributed revenue is not quantified separately. Market Share (2/2): AeroVironment dominates the small UAS and tactical loitering munition markets with Switchblade as the definitive precision strike system for modern warfare, deployed to 50+ nations. Record funded backlog of $1.5B (Q1 FY2027, +37% YoY) confirms category leadership [1][4]. Product Pipeline (2/2): FY2027 guidance of $2.125-2.225B with EBITDA $305-325M provides specific revenue visibility, backed by $1.5B funded backlog, ongoing next-gen programs across Switchblade variants, JUMP 20, directed energy, and space systems [1]. R&amp;D Intensity (0/1): Innovation spending of 12-13% of revenue is well above defense industry norms (~3-5%), but defense R&amp;D accounting embeds customer-funded development within contracts, making precise comparison imprecise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AeroVironment's purpose — protecting warfighters and enabling mission success through innovative unmanned systems and defense technology — is specific, thoughtful, and clearly shapes strategic decisions [3]. CEO Nawabi's articulation of 'delivering mission-critical solutions at the speed of relevance' connects the company's work to saving lives through technological innovation. Founded in 1971, the mission has been validated through 55 years and multiple leadership transitions. Community Impact (1/2): AeroVironment publishes annual CSR reports with ISO 14001 certification at 8 facilities (66% of operations) and established a robust e-waste recycling program [5]. Sustainalytics rates ESG risk management as Strong. However, specific charitable foundation or community investment dollar amounts were not identified. Employee Retention (1/2): Culture is described as 'engaging, purpose-driven' with strengths in innovation and collaboration, but challenges with 'shifting priorities, managerial consistency, and workload strain' reflect growing pains from scaling through eightfold revenue growth and BlueHalo integration [3]. Some Glassdoor reviews cite internal politics and inconsistent management. Insider Buying (1/2): CEO Nawabi's 10-year tenure as Chairman, President, and CEO with significant equity exposure signals long-term conviction, though specific voluntary open-market purchase data was not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(Forward PEG unavailable, excluded). D/E of ~19% is exceptionally conservative for a defense company, scoring 1.0 [2]. Revenue growth YoY of 141% (FY2026, driven by BlueHalo; organic ~26%) saturates the target at 1.0, and 5-year revenue CAGR of ~38% scores 1.0 at 2x weight [1]. However, GAAP profitability remains negative: ROE of -10% scores 0 at 2x weight, and profit margin of -14.3% scores 0, both driven by BlueHalo acquisition amortization and integration charges [2]. Forward P/E of ~47x (on non-GAAP FY2027 EPS of ~$3.18 midpoint) scores 0.33, reflecting a premium valuation for a defense contractor — the metric captures market expectation but not yet realized earnings. Q1 FY2027 adjusted EBITDA expanded to 22%, suggesting GAAP profitability normalization is approaching. Liquidity floor easily cleared: ~$147 × 1.78M avg daily volume = ~$261M.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AeroVironment under CEO Nawabi demonstrates strong infinite game characteristics — the company has fundamentally reinvented itself multiple times over its 55-year history (solar aircraft to military drones to loitering munitions to full-spectrum defense platform), consistently investing in long-term capabilities through market uncertainty. The BlueHalo acquisition, 12-13% innovation spending, and willingness to accept GAAP losses during integration all prioritize future capability over current earnings. The mission of protecting warfighters through technological innovation has been validated through decades of execution and Switchblade's combat performance in Ukraine. Record funded backlog of $1.5B provides confidence in the long-term trajectory.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AeroVironment's cause — protecting warfighters by innovating unmanned systems that save lives and enable mission success — is distinctive and validated by 55 years of continuous operation and Switchblade's combat-proven performance in Ukraine, where the technology demonstrably changed warfare doctrine [1][3]. The company was founded in 1971 by Paul MacCready (pioneer of human-powered flight) and the mission has survived multiple leadership transitions while CEO Nawabi's strategic reinvention since 2016 added transformative depth. However, as a defense contractor, the purpose is ultimately tied to government procurement cycles rather than being purely idealistic.</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AeroVironment's culture is described as 'engaging and purpose-driven' with strengths in innovation and collaboration, though growing pains from rapid scaling (eightfold revenue growth, 4,091 employees post-BlueHalo) have created challenges with shifting priorities, managerial consistency, and workload strain [3]. Some Glassdoor reviews describe 'toxic workplace culture' with 'intimidation, exclusion, or internal politics,' suggesting cultural consistency varies across the organization. CEO Nawabi's 10-year tenure provides senior leadership stability, and new CFO/COO appointments in April 2026 signal organizational evolution.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AeroVironment competes against L3Harris, Northrop Grumman, Kratos Defense, and emerging competitors in UAS, loitering munitions, and directed energy [3]. The company's strategic acquisitions (BlueHalo for space/directed energy, Tomahawk Robotics for AI control, Arcturus for medium UAS) demonstrate awareness of rivals' capabilities and willingness to acquire strengths rather than assuming internal superiority. This 'buy the best, build the best' approach reflects an infinite competitive mindset focused on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AeroVironment has executed one of the most dramatic transformations in defense history — from solar-powered aircraft research (founded 1971) to small reconnaissance UAS to precision strike loitering munitions to a $2B multi-domain defense robotics platform through the BlueHalo acquisition [1][3]. The expansion from Puma/Raven reconnaissance into Switchblade (creating an entirely new weapons category), then into space, cyber, and directed energy represents fundamental reinvention driven consistently by the mission of protecting warfighters through technology.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Nawabi demonstrates a pattern of costly long-term bets. He invested in Switchblade production capacity before Ukraine created massive demand — a proactive bet on a weapons category without an established market [1]. The $4.4B BlueHalo acquisition more than doubled the company, accepting deep GAAP losses (net loss -$265M in FY2026) during integration to build long-term capability across space, cyber, and directed energy [2]. Consistently spending 12-13% of revenue on innovation — well above defense norms — prioritizes future capability over current earnings. Each decision prioritized long-term platform building over near-term financial appearance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AeroVironment delivered record FY2026 results — $1,976.8M revenue (+141% YoY, 26% organic), $641.6M Q4 revenue, and $286M adjusted EBITDA (14% full-year margin expanding to 22% in Q4) — followed by strong Q1 FY2027 revenue of $480.5M (+6% on a comparable basis) [1]. Funded backlog surged to $1.5B (+37% YoY as of Q1 FY2027) with TTM book-to-bill of 1.4x, providing exceptional multi-year visibility [1][4]. FY2027 guidance of $2.125-2.225B with EBITDA $305-325M implies continued growth and margin expansion as BlueHalo integration synergies materialize. CEO Nawabi has driven eightfold revenue growth since 2016, building the dominant defense robotics platform with Switchblade battle-proven across 50+ allied nations. D/E of just 19% provides balance sheet flexibility. At ~$147 (down ~40% from 52-week high), the stock offers potential for re-rating as GAAP profitability normalizes [2].</w:t>
      </w:r>
    </w:p>
    <w:p>
      <w:pPr>
        <w:spacing w:after="120"/>
      </w:pPr>
      <w:r>
        <w:rPr>
          <w:rFonts w:ascii="Calibri" w:hAnsi="Calibri"/>
          <w:b w:val="0"/>
          <w:color w:val="3A4A28"/>
          <w:sz w:val="20"/>
        </w:rPr>
        <w:t>The bear case centers on valuation and profitability normalization. Forward P/E of ~47x on non-GAAP estimates is a premium for a defense contractor, and the ~40% decline from the 52-week high suggests the market is already repricing growth expectations [2]. GAAP profitability remains deeply negative (net loss -$265M, profit margin -14.3%, ROE -10%) due to BlueHalo acquisition amortization and integration charges — non-GAAP metrics paint a better picture but GAAP losses are real and extend the timeline for meaningful free cash flow generation [2]. Q1 FY2027 revenue growth of just 6% on a comparable basis (vs 26% organic in FY2026) signals growth deceleration now that the acquisition lapping effect has normalized. FY2027 guidance implies only ~10% growth at the midpoint, well below the multi-year pace. Defense spending is subject to political cycles, and the SCAR program termination demonstrates government contract cancellation risk. Scaling from $820M to $2B+ in two years creates manufacturing, supply chain, and quality control execution risk for life-safety defense products. Some Glassdoor reviews citing 'toxic culture' and internal politics raise organizational health concerns amid rapid integration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EBITDA guidance of $305-325M (15% margin) implies profitability inflection as BlueHalo integration costs normalize — GAAP earnings normalization could re-rate the stock from current ~47x forward P/E [1][2]</w:t>
      </w:r>
    </w:p>
    <w:p>
      <w:pPr>
        <w:spacing w:before="40" w:after="40"/>
        <w:ind w:left="283"/>
      </w:pPr>
      <w:r>
        <w:rPr>
          <w:rFonts w:ascii="Calibri" w:hAnsi="Calibri"/>
          <w:b/>
          <w:color w:val="4A6B25"/>
          <w:sz w:val="20"/>
        </w:rPr>
        <w:t xml:space="preserve">2. </w:t>
      </w:r>
      <w:r>
        <w:rPr>
          <w:rFonts w:ascii="Calibri" w:hAnsi="Calibri"/>
          <w:b w:val="0"/>
          <w:color w:val="3A4A28"/>
          <w:sz w:val="20"/>
        </w:rPr>
        <w:t>Record funded backlog of $1.5B (+37% YoY) with TTM book-to-bill of 1.4x provides multi-year revenue visibility from US DoD, NATO allies, and 50+ Switchblade customer nations [1][4]</w:t>
      </w:r>
    </w:p>
    <w:p>
      <w:pPr>
        <w:spacing w:before="40" w:after="40"/>
        <w:ind w:left="283"/>
      </w:pPr>
      <w:r>
        <w:rPr>
          <w:rFonts w:ascii="Calibri" w:hAnsi="Calibri"/>
          <w:b/>
          <w:color w:val="4A6B25"/>
          <w:sz w:val="20"/>
        </w:rPr>
        <w:t xml:space="preserve">3. </w:t>
      </w:r>
      <w:r>
        <w:rPr>
          <w:rFonts w:ascii="Calibri" w:hAnsi="Calibri"/>
          <w:b w:val="0"/>
          <w:color w:val="3A4A28"/>
          <w:sz w:val="20"/>
        </w:rPr>
        <w:t>AI and autonomy integration across platforms — AV_Halo, HaloCortex OSINT, and autonomous Switchblade capabilities position AVAV at the center of defense AI spending acceleration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forward P/E of ~47x on non-GAAP earnings creates multiple compression risk — Q1 FY2027 comparable growth decelerated to 6% and FY2027 guidance implies only ~10% growth, well below the multi-year pace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remains deeply negative (net loss -$265M, margin -14.3%, ROE -10%) due to acquisition amortization — until GAAP earnings turn positive, the quality of the ~47x forward PE based on non-GAAP adjustments remains debatable [2]</w:t>
      </w:r>
    </w:p>
    <w:p>
      <w:pPr>
        <w:spacing w:before="40" w:after="40"/>
        <w:ind w:left="283"/>
      </w:pPr>
      <w:r>
        <w:rPr>
          <w:rFonts w:ascii="Calibri" w:hAnsi="Calibri"/>
          <w:b/>
          <w:color w:val="4A6B25"/>
          <w:sz w:val="20"/>
        </w:rPr>
        <w:t xml:space="preserve">3. </w:t>
      </w:r>
      <w:r>
        <w:rPr>
          <w:rFonts w:ascii="Calibri" w:hAnsi="Calibri"/>
          <w:b w:val="0"/>
          <w:color w:val="3A4A28"/>
          <w:sz w:val="20"/>
        </w:rPr>
        <w:t>Defense spending political risk and contract cancellation (demonstrated by SCAR termination), compounded by rapid scaling execution risk across manufacturing, supply chain, and 4,091-employee integration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AeroVironment operates in defense robotics — a sector where AI is the core enabler, not a disruptor [1][3]. Autonomous UAS, loitering munitions, and counter-UAS systems are physical-world military hardware that AI cannot substitute; AI enhances these products through autonomous navigation, target identification, and swarm coordination. Defense procurement processes, ITAR regulations, classified programs, decades of customer relationships, and combat-proven performance create structural barriers. Rising geopolitical tensions (Ukraine, Taiwan, Middle East) increase demand for exactly the products AeroVironment makes. The company IS building AI infrastructure for defense. AI Opportunity (1/1): AV_Halo and HaloCortex OSINT are deployed, revenue-generating AI-powered platforms embedded in the product portfolio. CEO Nawabi is actively integrating AI and autonomy into all AeroVironment platforms post-BlueHalo. AI autonomy features in Switchblade and small UAS contribute directly to the $1.98B revenue base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AeroVironment FY2026 Full Year and Q4 Results &amp; Q1 FY2027 Results — FY2026 record revenue $1,976.8M (+141%), Q4 $641.6M, Q1 FY2027 $480.5M (+6%), EBITDA $286M FY2026, FY2027 guidance $2.125-2.225B; BusinessWire, investor.avinc.com, June-September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 Yahoo Finance / GuruFocus — AVAV: stock price ~$147, forward PE ~47, D/E 19%, ROE -10%, profit margin -14.3%, avg daily volume 1.78M;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AeroVironment Leadership, Culture, and AI Strategy — CEO Wahid Nawabi (10-year tenure), 12-13% innovation spending, AV_Halo/HaloCortex AI platforms, BlueHalo integration; avinc.com, Glassdoor, Built In, Ayna podcast, 2026</w:t>
      </w:r>
    </w:p>
    <w:p>
      <w:pPr>
        <w:spacing w:before="20" w:after="20"/>
        <w:ind w:left="170"/>
      </w:pPr>
      <w:r>
        <w:rPr>
          <w:rFonts w:ascii="Calibri" w:hAnsi="Calibri"/>
          <w:b/>
          <w:color w:val="4A6B25"/>
          <w:sz w:val="15"/>
        </w:rPr>
        <w:t xml:space="preserve">4. </w:t>
      </w:r>
      <w:r>
        <w:rPr>
          <w:rFonts w:ascii="Calibri" w:hAnsi="Calibri"/>
          <w:b w:val="0"/>
          <w:color w:val="3A4A28"/>
          <w:sz w:val="17"/>
        </w:rPr>
        <w:t>AeroVironment Backlog and Orders — Funded backlog $1.5B (Q1 FY2027, +37% YoY), FY2026 bookings $2.7B, book-to-bill 1.4x; investor.avinc.com, SEC filings, 2026</w:t>
      </w:r>
    </w:p>
    <w:p>
      <w:pPr>
        <w:spacing w:before="20" w:after="20"/>
        <w:ind w:left="170"/>
      </w:pPr>
      <w:r>
        <w:rPr>
          <w:rFonts w:ascii="Calibri" w:hAnsi="Calibri"/>
          <w:b/>
          <w:color w:val="4A6B25"/>
          <w:sz w:val="15"/>
        </w:rPr>
        <w:t xml:space="preserve">5. </w:t>
      </w:r>
      <w:r>
        <w:rPr>
          <w:rFonts w:ascii="Calibri" w:hAnsi="Calibri"/>
          <w:b w:val="0"/>
          <w:color w:val="3A4A28"/>
          <w:sz w:val="17"/>
        </w:rPr>
        <w:t>AeroVironment CSR Report and ESG — ISO 14001 certification (8 facilities), Sustainalytics Strong risk management, e-waste recycling program; avinc.com, responsibilityreports.com,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