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AVGO</w:t>
      </w:r>
      <w:r>
        <w:rPr>
          <w:rFonts w:ascii="Calibri" w:hAnsi="Calibri"/>
          <w:b/>
          <w:color w:val="1A2010"/>
          <w:sz w:val="40"/>
        </w:rPr>
        <w:t xml:space="preserve">  Broadcom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2026-10-02 · Inspire: 47 · MIXED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F8E1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97706"/>
                <w:sz w:val="20"/>
              </w:rPr>
              <w:t>HOLD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78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Technology · Semiconductors · NASDAQ · United States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Broadcom designs semiconductors and infrastructure software. Its Semiconductor Solutions segment supplies custom AI accelerators (XPUs) for hyperscalers, Tomahawk/Jericho Ethernet switching for AI clusters, plus wireless, broadband, and storage chips; Infrastructure Software is anchored by VMware Cloud Foundation, mainframe, and security software. Q3 FY2026 revenue grew 86% YoY to a record $29.6B, with AI semiconductor revenue of $16.7B (+221%) now ~56% of the total. Led by CEO Hock Tan since 2006; headquartered in Palo Alto, California.</w:t>
      </w:r>
    </w:p>
    <w:p>
      <w:r>
        <w:rPr>
          <w:rFonts w:ascii="Calibri" w:hAnsi="Calibri"/>
          <w:b/>
          <w:color w:val="6E8450"/>
          <w:sz w:val="18"/>
        </w:rPr>
        <w:t>33,000 Employees · https://www.broadcom.com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10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2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0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(3/3): Broadcom has redefined itself more than once in five years — integrating the $69B VMware acquisition into a subscription software franchise while building a custom-XPU business that took AI semiconductor revenue from $5.2B a year ago to $16.7B in Q3 FY2026 (+221%) [1]. AI Deployment (2/2): AI is now the majority of the company: AI semiconductor revenue is ~56% of total revenue, with full-year FY2026 AI revenue guided to ~$58B (+186%) [1][2]. Market Share (2/2): Broadcom is the leading designer of custom AI accelerators for hyperscalers (Google TPU and other XPU programs) and the dominant merchant supplier of Ethernet switching silicon for AI back-end networks [2]. Product Pipeline (2/2): Management laid out explicit forward AI revenue of ~$115B in FY2027 and ~$230B in FY2028, guided Q4 FY2026 AI revenue to $21.7B (+236%), and reported AI bookings above $30B in a single quarter — unusually specific next-generation visibility [2][3]. R&amp;D Intensity (1/1): R&amp;D runs above $9B annually, top-quartile for the semiconductor/software peer set in absolute terms and funding 2nm XPUs and next-generation Tomahawk switches [8].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DEVELOPING 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(2/4): Broadcom describes itself as a global technology leader that designs and supplies semiconductor and infrastructure software solutions 'connecting everything' — clear about what it does but functional, without articulating a purpose beyond engineering and capital-allocation excellence [4]. Community Impact (2/2): The Broadcom Foundation runs distinctive STEM programs including Broadcom MASTERS and Coding with Commitment, funding national science competitions and middle-school coding challenges tied to community problem-solving [5]. Employee Retention (0/2): Broadcom's acquisition playbook relies on deep post-deal headcount cuts — including 2,000+ VMware layoffs and a strict return-to-office mandate in which Hock Tan told staff they must 'learn how to walk on water' to work remotely — evidence against mission-driven retention [6]. Insider Buying (0/2): Insiders, including CEO Hock Tan, have been consistent net sellers over the past year with only token director purchases [9].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STRONG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10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2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0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as a Growth stock (0.76% yield) [8]. Every metric reaches its target: D/E of 59.6% (1.0) as VMware debt is paid down, ROE of 44.2% (1.0, 2x weight), YoY revenue growth of 85.5% (1.0), 5-year revenue CAGR of ~21.7% from $23.9B in FY2020 to $63.9B in FY2025 (1.0, 2x), forward P/E of 18.3 (1.0), profit margin of 42.9% (1.0), and forward PEG of 0.34 (1.0, 2x) — a full 10.0/10 [8]. Daily dollar volume of ~$7.9B (22.4M shares at $354) clears the liquidity floor by orders of magnitude, and Q3 FY2026 delivered record free cash flow [1].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B8860B"/>
          <w:sz w:val="22"/>
        </w:rPr>
        <w:t>MIXED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B8860B"/>
          <w:sz w:val="28"/>
        </w:rPr>
        <w:t>5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Broadcom is a magnificently executed finite game with infinite-game capital allocation. Hock Tan's 20-year willingness to reinvent the portfolio and to commit early to custom silicon shows real courage and existential flexibility. But Sinek would struggle to find a Just Cause beyond franchise economics, the integration model of deep layoffs and price resets erodes trust inside and outside the company, and the VMware partner-program termination that triggered an EU antitrust complaint reflects a win-the-market rather than improve-the-game posture.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(1/3): Broadcom's stated purpose is a description of products and markets rather than a vision of a better future; strategy is explicitly organized around acquiring and optimizing durable 'franchise' businesses for cash flow, which Sinek would classify as playing to win [4].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(0/2): The post-acquisition model of rapid headcount reduction (2,000+ VMware roles), 'lean and flat' reorganization, and a hard-line return-to-office mandate signal a fear- and performance-based environment rather than a Circle of Safety [6].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Broadcom's posture toward customers and partners is aggressively extractive — the January 2026 termination of the VMware Cloud Service Provider program prompted CISPE, representing ~50 European cloud providers, to file an EU antitrust complaint calling it an 'ongoing abuse,' which Broadcom dismissed as hyperscaler-funded [7]. Competition is framed as franchise control, not mutual improvement.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10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2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0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(2/2): Broadcom has transformed from Avago's mid-size component business into a semiconductor-plus-software platform and then into the leading custom AI accelerator house, with AI now ~56% of revenue — a genuine reinvention of what the company is [1].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10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2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0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(2/2): Tan repeatedly made bets Wall Street doubted — the $69B VMware purchase, and years of co-development investment in custom XPUs before AI demand was visible — which now underpin the $58B FY2026 AI revenue outlook [1][2]. These are costly, long-dated capability bets rather than quarter-to-quarter optimization.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Broadcom is the clearest compounding story in AI infrastructure outside NVIDIA: Q3 FY2026 revenue rose 86% to $29.6B, AI semiconductor revenue grew 221% to $16.7B, Q4 AI revenue is guided to $21.7B, and management has outlined ~$115B of FY2027 and ~$230B of FY2028 AI revenue [1][2]. Despite that growth the stock trades at ~18x forward earnings and a 0.34 PEG, with a 42.9% profit margin, 44% ROE, deleveraging balance sheet, and a dividend that has grown ~12.6% annually for five years [8].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The bear case is concentration and durability: a handful of hyperscalers drive the AI business, and any capex digestion, in-sourcing of chip design, or share shift to rivals such as Marvell, MediaTek, or NVIDIA would hit a revenue base now ~56% AI-dependent [1]. AI growth is also dilutive to gross margin, and the VMware franchise faces escalating EU antitrust scrutiny and customer defections after aggressive licensing and partner-program changes [7]. Share price (~$354) is already well below the 50-day average (~$373), showing how sensitive sentiment is to AI-capex headlines [8].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Delivery against the ~$58B FY2026 AI revenue target, including $21.7B in Q4, and conversion of record AI bookings (&gt;$30B in a single quarter) into FY2027 shipments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Ramp of additional custom-XPU customers and 2nm XPU/next-generation Tomahawk Ethernet switches supporting the ~$115B FY2027 AI revenue outlook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Continued deleveraging from VMware debt plus double-digit dividend growth funded by record free cash flow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Customer concentration: a few hyperscalers account for most AI revenue, so capex pauses or in-house chip design could sharply cut growth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EU antitrust action over the VMware Cloud Service Provider program termination (CISPE complaint, March 2026) and broader VMware customer attrition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Gross-margin dilution as lower-margin AI systems become a majority of revenue, plus cultural and retention risk from aggressive integration practices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16A34A"/>
          <w:sz w:val="16"/>
        </w:rPr>
        <w:t xml:space="preserve"> LOW RISK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10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2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0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(9/9): Broadcom is AI infrastructure — its custom XPUs and Ethernet switches are the physical substrate on which hyperscale AI is trained and served, so every increment of AI capex expands its addressable market, as the $115B FY2027 AI revenue outlook shows [2]. The VMware software segment is the only plausible AI-exposed piece, but private-cloud virtualization is being pulled along by on-premises AI workloads rather than displaced. AI Opportunity (1/1): AI semiconductor revenue was $16.7B in Q3 FY2026 alone, ~56% of total revenue [1].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47</w:t>
      </w:r>
      <w:r>
        <w:rPr>
          <w:rFonts w:ascii="Calibri" w:hAnsi="Calibri"/>
          <w:b/>
          <w:color w:val="B8860B"/>
          <w:sz w:val="20"/>
        </w:rPr>
        <w:t xml:space="preserve">    ALIGNED</w:t>
      </w:r>
    </w:p>
    <w:p>
      <w:pPr>
        <w:spacing w:before="80" w:after="40"/>
      </w:pPr>
      <w:r>
        <w:rPr>
          <w:rFonts w:ascii="Calibri" w:hAnsi="Calibri"/>
          <w:b/>
          <w:color w:val="6E8450"/>
          <w:sz w:val="18"/>
        </w:rPr>
        <w:t xml:space="preserve">Positive: </w:t>
      </w:r>
      <w:r>
        <w:rPr>
          <w:rFonts w:ascii="Calibri" w:hAnsi="Calibri"/>
          <w:b/>
          <w:color w:val="16A34A"/>
          <w:sz w:val="17"/>
        </w:rPr>
        <w:t xml:space="preserve"> Air Quality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Business Resilience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Privacy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Customer Welfare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Data Security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Employee Wellbeing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Energy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Environmental Risk Mitigation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Ethical Supply Chain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GHG Emissions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Hiring Ethics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Human Rights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Low Ecological Impact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Materials Efficiency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Access and Affordability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Product Sustainability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Regulatory Adherence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Waste and Hazmat Management </w:t>
      </w:r>
      <w:r>
        <w:rPr>
          <w:rFonts w:ascii="Calibri" w:hAnsi="Calibri"/>
          <w:b w:val="0"/>
          <w:color w:val="9DAF88"/>
          <w:sz w:val="17"/>
        </w:rPr>
        <w:t xml:space="preserve">  ·  </w:t>
      </w:r>
      <w:r>
        <w:rPr>
          <w:rFonts w:ascii="Calibri" w:hAnsi="Calibri"/>
          <w:b/>
          <w:color w:val="16A34A"/>
          <w:sz w:val="17"/>
        </w:rPr>
        <w:t xml:space="preserve"> Water Conservation 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Broadcom Inc. Announces Third Quarter Fiscal Year 2026 Financial Results — investors.broadcom.com / Form 8-K, 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Broadcom Q3 FY2026 Earnings Call Transcript and coverage (FY2026 ~$58B, FY2027 ~$115B, FY2028 ~$230B AI revenue outlook) — The Motley Fool / Seeking Alpha / Investing.com, September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3. </w:t>
      </w:r>
      <w:r>
        <w:rPr>
          <w:rFonts w:ascii="Calibri" w:hAnsi="Calibri"/>
          <w:b w:val="0"/>
          <w:color w:val="3A4A28"/>
          <w:sz w:val="17"/>
        </w:rPr>
        <w:t>Broadcom Q2 FY2026 results and AI bookings above $30B — investors.broadcom.com / tech-insider.org, June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4. </w:t>
      </w:r>
      <w:r>
        <w:rPr>
          <w:rFonts w:ascii="Calibri" w:hAnsi="Calibri"/>
          <w:b w:val="0"/>
          <w:color w:val="3A4A28"/>
          <w:sz w:val="17"/>
        </w:rPr>
        <w:t>Broadcom company overview and purpose — broadcom.com, accessed October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5. </w:t>
      </w:r>
      <w:r>
        <w:rPr>
          <w:rFonts w:ascii="Calibri" w:hAnsi="Calibri"/>
          <w:b w:val="0"/>
          <w:color w:val="3A4A28"/>
          <w:sz w:val="17"/>
        </w:rPr>
        <w:t>Broadcom Foundation — Broadcom MASTERS and Coding with Commitment programs, broadcomfoundation.org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6. </w:t>
      </w:r>
      <w:r>
        <w:rPr>
          <w:rFonts w:ascii="Calibri" w:hAnsi="Calibri"/>
          <w:b w:val="0"/>
          <w:color w:val="3A4A28"/>
          <w:sz w:val="17"/>
        </w:rPr>
        <w:t>Broadcom VMware layoffs and return-to-office mandate — San Francisco Chronicle, Fortune, Network World, 2023-2024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7. </w:t>
      </w:r>
      <w:r>
        <w:rPr>
          <w:rFonts w:ascii="Calibri" w:hAnsi="Calibri"/>
          <w:b w:val="0"/>
          <w:color w:val="3A4A28"/>
          <w:sz w:val="17"/>
        </w:rPr>
        <w:t>CISPE files EU antitrust complaint over VMware Cloud Service Provider program termination — The Register / Reuters, March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8. </w:t>
      </w:r>
      <w:r>
        <w:rPr>
          <w:rFonts w:ascii="Calibri" w:hAnsi="Calibri"/>
          <w:b w:val="0"/>
          <w:color w:val="3A4A28"/>
          <w:sz w:val="17"/>
        </w:rPr>
        <w:t>Yahoo Finance — AVGO key statistics, financial statements, and dividend history, accessed October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9. </w:t>
      </w:r>
      <w:r>
        <w:rPr>
          <w:rFonts w:ascii="Calibri" w:hAnsi="Calibri"/>
          <w:b w:val="0"/>
          <w:color w:val="3A4A28"/>
          <w:sz w:val="17"/>
        </w:rPr>
        <w:t>Broadcom insider transactions (SEC Form 4 filings) — Yahoo Finance/MarketBeat, 2025-2026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10. </w:t>
      </w:r>
      <w:r>
        <w:rPr>
          <w:rFonts w:ascii="Calibri" w:hAnsi="Calibri"/>
          <w:b w:val="0"/>
          <w:color w:val="3A4A28"/>
          <w:sz w:val="17"/>
        </w:rPr>
        <w:t>Broadcom's AI Backlog Starts to Matter More Than Short-Term Margin Optics — Investing.com analysis,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