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AVR</w:t>
      </w:r>
      <w:r>
        <w:rPr>
          <w:rFonts w:ascii="Calibri" w:hAnsi="Calibri"/>
          <w:b/>
          <w:color w:val="1A2010"/>
          <w:sz w:val="40"/>
        </w:rPr>
        <w:t xml:space="preserve">  Anteris Technologies Global Corp.</w:t>
      </w:r>
    </w:p>
    <w:p>
      <w:pPr>
        <w:spacing w:after="120"/>
      </w:pPr>
      <w:r>
        <w:rPr>
          <w:rFonts w:ascii="Calibri" w:hAnsi="Calibri"/>
          <w:b/>
          <w:color w:val="6E8450"/>
          <w:sz w:val="18"/>
        </w:rPr>
        <w:t>GROWTH SLEEVE · 2026-09-22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Australia</w:t>
      </w:r>
    </w:p>
    <w:p>
      <w:pPr>
        <w:spacing w:after="80"/>
      </w:pPr>
      <w:r>
        <w:rPr>
          <w:rFonts w:ascii="Calibri" w:hAnsi="Calibri"/>
          <w:b w:val="0"/>
          <w:color w:val="3A4A28"/>
          <w:sz w:val="20"/>
        </w:rPr>
        <w:t>Anteris Technologies is a structural heart company developing the DurAVR transcatheter heart valve (THV) system, the world's first biomimetic TAVR valve incorporating proprietary ADAPT anti-calcification technology, designed to mimic the performance of a healthy human aortic valve for the treatment of severe aortic stenosis. Dual-listed on NASDAQ and ASX. Running the 1,000-patient PARADIGM global pivotal trial with U.S. enrollment begun in May 2026 and Medicare reimbursement eligibility secured. H1 2026 revenue $1.5M from regenerative tissue products, net loss $52.1M. Cash position $256.9M. Market cap ~$794M.</w:t>
      </w:r>
    </w:p>
    <w:p>
      <w:r>
        <w:rPr>
          <w:rFonts w:ascii="Calibri" w:hAnsi="Calibri"/>
          <w:b/>
          <w:color w:val="6E8450"/>
          <w:sz w:val="18"/>
        </w:rPr>
        <w:t>174 Employees · https://anteristech.com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DurAVR THV is a genuinely novel first-in-class biomimetic valve that replicates natural aortic blood flow, a meaningful departure from traditional cylindrical TAVR designs that represent a $9.9B market [1]. The proprietary ADAPT anti-calcification tissue technology is a platform innovation with specific clinical differentiation — it transforms xenograft tissue into durable bioscaffolds designed to resist the calcification that limits current valve longevity, particularly critical for younger patients. AI Deployment (0/2): No AI-powered products or AI-driven efficiencies; the company's innovation is in biomaterials science and device engineering [2]. Market Share (0/2): Pre-commercial stage with zero meaningful market share; the TAVR market is dominated by Edwards Lifesciences and Medtronic [1]. Product Pipeline (2/2): PARADIGM global pivotal trial received FDA IDE approval, U.S. Medicare reimbursement eligibility secured under CMS NCD 20.32 in April 2026, and first U.S. patients treated in May 2026 — specific milestones with clear regulatory pathway [3][4]. The ComASUR delivery system complements DurAVR with a physician-developed balloon-expandable platform. R&amp;D Intensity (1/1): R&amp;D spending of $40.8M in H1 2026 against $1.5M revenue represents extreme R&amp;D intensity, consistent with a pure-play clinical development company advancing a pivotal trial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Anteris articulates a clear purpose — developing innovative medical devices to disrupt heart valve disease and restore healthy heart function through science-driven advancements [2]. The focus on biomimetic design specifically for younger patients who need lifetime valve durability identifies a specific unmet need and connects the company's work to patient outcomes. However, the mission does not rise to a transformative vision validated by decades of execution. Community Impact (1/2): The EmpowHer program equips women with skills and confidence to thrive as leaders in science, demonstrating genuine workforce development commitment beyond profit [5]. Employee Retention (1/2): Company culture emphasizes being 'thoughtful and collaborative,' sharing ideas, and approaching work with imagination and perseverance to achieve excellence. With 174 employees, the small-team dynamic appears positive, and leadership continuity under CEO Wayne Paterson provides stability [2][5]. Insider Buying (0/2): No evidence of meaningful net insider buying. The Medtronic strategic investment of up to $90M validates the platform, but these are corporate transactions rather than personal executive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this pre-commercial medical device company. D/E of 1.3% is excellent, reflecting minimal debt ($3.3M) against $256.9M cash — the company is almost entirely equity-funded from its $320M capital raise [1][6]. ROE is deeply negative at -74.7% as the company burns approximately $52M per half to fund the PARADIGM pivotal trial with only $1.5M in tissue product revenue [1]. Revenue growth of 63.3% YoY is positive but from a tiny base ($1.5M H1 2026 vs $1.2M H1 2025), representing minor tissue product sales rather than DurAVR commercial traction. Profit margin and PEG metrics are not meaningful for a pre-commercial company. The stock clears the liquidity floor with approximately $8.3M in daily traded value ($8.15 x 1.02M avg volume) [6]. Infrastructure is fundamentally constrained by the binary nature of pivotal trial development — the entire financial outlook depends on PARADIGM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Anteris demonstrates genuine cause-driven innovation in pursuing a biomimetic approach to heart valve replacement that could improve outcomes for younger patients needing lifetime valve durability. The commitment to a 1,000-patient head-to-head RCT against established TAVR devices and the Medtronic strategic partnership validate the technology thesis. CEO Wayne Paterson has led through a challenging development period. However, the company is too early-stage to have proven infinite game durability through market cycles or leadership transitions, and the single-product focus creates existential risk.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Anteris's pursuit of a biomimetic heart valve replicating natural aortic blood flow represents a genuine vision of transforming structural heart disease treatment, specifically for younger patients who need lifetime valve durability [2]. The PARADIGM trial commitment to a 1,000-patient head-to-head RCT shows confidence in the cause over short-term capital preservation — the company is willing to be tested rather than avoiding direct comparison with established devices [3]. However, the company lacks the multi-decade execution track record to earn full marks; it has not yet survived a leadership transition, market crisis, or commercialization challenge.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Anteris describes a culture of collaboration, ethical conduct, and considering the impact of decisions on others [5]. The EmpowHer program for women in science leadership demonstrates intentional culture-building. With 174 employees across Australia and Minneapolis, the company is small enough for direct leadership engagement. CEO Wayne Paterson has maintained organizational stability through the capital-intensive PARADIGM trial development phase. Limited data on turnover or tenure prevents a higher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Anteris positions against Edwards Lifesciences and Medtronic primarily through product differentiation language — 'first biomimetic valve,' 'superior ADAPT technology' — which is appropriate for a startup but does not demonstrate the infinite game mindset of acknowledging rivals' strengths for self-improvement [1][2]. The Medtronic partnership could be seen as respecting a rival's capabilities, but it is structured as a financial/commercial relationship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Anteris evolved from its original Australian ADAPT tissue platform to a full transcatheter heart valve system targeting the global $9.9B TAVR market, pursued dual NASDAQ/ASX listing, and partnered strategically with Medtronic for up to $90M — representing meaningful evolution from a regional tissue technology company to a global structural heart contender [1][2]. The decision to pursue FDA IDE approval and U.S. enrollment demonstrates willingness to adapt to the largest market opportunity. However, as a single-product company, it has not yet faced the test of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Anteris committed to a 1,000-patient randomized controlled trial against established TAVR devices — a binary, high-stakes bet for a 174-person company with $1.5M H1 2026 revenue and ~$100M+ annual cash burn [1][3]. The $320M capital raise, while dilutive, demonstrates willingness to invest in long-term clinical validation over short-term capital preservation. CEO Wayne Paterson has led through a challenging development period, securing Medtronic's strategic endorsement and FDA IDE approval. However, this represents a single strategic direction rather than a pattern of costly long-term bets across multiple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Anteris Technologies offers exposure to a potentially disruptive innovation in the $9.9B TAVR market through its biomimetic DurAVR heart valve, the first designed to mimic natural aortic blood flow using proprietary ADAPT anti-calcification technology. Major catalysts are materializing: FDA IDE approval secured, U.S. Medicare reimbursement eligibility confirmed under CMS NCD 20.32, and first U.S. patients treated in the PARADIGM pivotal trial in May 2026 [3][4]. The Medtronic strategic investment of up to $90M validates the technology platform. The stock has rallied from a $3.30 52-week low to $8.15 as clinical milestones de-risk the thesis. Cash position of $256.9M at June 30, 2026 provides funding runway for the pivotal trial [1]. If PARADIGM demonstrates superior durability over existing TAVR valves, DurAVR could capture meaningful share of a large, growing market with pricing power.</w:t>
      </w:r>
    </w:p>
    <w:p>
      <w:pPr>
        <w:spacing w:after="120"/>
      </w:pPr>
      <w:r>
        <w:rPr>
          <w:rFonts w:ascii="Calibri" w:hAnsi="Calibri"/>
          <w:b w:val="0"/>
          <w:color w:val="3A4A28"/>
          <w:sz w:val="20"/>
        </w:rPr>
        <w:t>The bear case remains substantial for this pre-commercial company. H1 2026 revenue was just $1.5M against a $52.1M net loss, R&amp;D expenses of $40.8M, and Q2 2026 cash outflows of $20.8M [1]. The $320M capital raise provides runway but represents massive dilution. PARADIGM trial results are inherently binary — negative data would likely trigger catastrophic share price decline given the $794M market cap prices in significant probability of commercial success. The TAVR market is dominated by Edwards Lifesciences and Medtronic, both with global commercial infrastructure that Anteris would need to build from scratch even with positive trial results. ROE of -74.7% and the absence of any meaningful revenue stream mean the company is entirely dependent on capital markets for survival [6]. Forward P/E of -8.15 reflects continued expected losses. Any delay in the trial timeline or disappointing interim data could require additional dilutive financing.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PARADIGM pivotal trial enrollment advancing with U.S. patients being treated since May 2026 following FDA IDE approval and CMS Medicare reimbursement eligibility — topline readout data will be the definitive inflection point for a $9.9B market opportunity [3][4]</w:t>
      </w:r>
    </w:p>
    <w:p>
      <w:pPr>
        <w:spacing w:before="40" w:after="40"/>
        <w:ind w:left="283"/>
      </w:pPr>
      <w:r>
        <w:rPr>
          <w:rFonts w:ascii="Calibri" w:hAnsi="Calibri"/>
          <w:b/>
          <w:color w:val="4A6B25"/>
          <w:sz w:val="20"/>
        </w:rPr>
        <w:t xml:space="preserve">2. </w:t>
      </w:r>
      <w:r>
        <w:rPr>
          <w:rFonts w:ascii="Calibri" w:hAnsi="Calibri"/>
          <w:b w:val="0"/>
          <w:color w:val="3A4A28"/>
          <w:sz w:val="20"/>
        </w:rPr>
        <w:t>Medtronic partnership deepening beyond the $90M strategic investment into potential co-commercialization, distribution, or acquisition at a premium, leveraging Medtronic's global TAVR commercial infrastructure [1]</w:t>
      </w:r>
    </w:p>
    <w:p>
      <w:pPr>
        <w:spacing w:before="40" w:after="40"/>
        <w:ind w:left="283"/>
      </w:pPr>
      <w:r>
        <w:rPr>
          <w:rFonts w:ascii="Calibri" w:hAnsi="Calibri"/>
          <w:b/>
          <w:color w:val="4A6B25"/>
          <w:sz w:val="20"/>
        </w:rPr>
        <w:t xml:space="preserve">3. </w:t>
      </w:r>
      <w:r>
        <w:rPr>
          <w:rFonts w:ascii="Calibri" w:hAnsi="Calibri"/>
          <w:b w:val="0"/>
          <w:color w:val="3A4A28"/>
          <w:sz w:val="20"/>
        </w:rPr>
        <w:t>ADAPT anti-calcification tissue technology demonstrating superior durability versus bovine pericardial valves at multi-year follow-up, differentiating DurAVR for younger patient populations needing lifetime valve solutions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 negative PARADIGM results versus established TAVR devices from Edwards Lifesciences and Medtronic would eliminate the investment thesis and likely trigger &gt;50% share price decline from the $794M market cap [1]</w:t>
      </w:r>
    </w:p>
    <w:p>
      <w:pPr>
        <w:spacing w:before="40" w:after="40"/>
        <w:ind w:left="283"/>
      </w:pPr>
      <w:r>
        <w:rPr>
          <w:rFonts w:ascii="Calibri" w:hAnsi="Calibri"/>
          <w:b/>
          <w:color w:val="4A6B25"/>
          <w:sz w:val="20"/>
        </w:rPr>
        <w:t xml:space="preserve">2. </w:t>
      </w:r>
      <w:r>
        <w:rPr>
          <w:rFonts w:ascii="Calibri" w:hAnsi="Calibri"/>
          <w:b w:val="0"/>
          <w:color w:val="3A4A28"/>
          <w:sz w:val="20"/>
        </w:rPr>
        <w:t>Capital depletion risk with ~$100M+ annual cash burn against $1.5M H1 2026 revenue requiring continued capital market access; the $256.9M cash position provides runway but additional dilutive financing may be needed if the trial timeline extends [1]</w:t>
      </w:r>
    </w:p>
    <w:p>
      <w:pPr>
        <w:spacing w:before="40" w:after="40"/>
        <w:ind w:left="283"/>
      </w:pPr>
      <w:r>
        <w:rPr>
          <w:rFonts w:ascii="Calibri" w:hAnsi="Calibri"/>
          <w:b/>
          <w:color w:val="4A6B25"/>
          <w:sz w:val="20"/>
        </w:rPr>
        <w:t xml:space="preserve">3. </w:t>
      </w:r>
      <w:r>
        <w:rPr>
          <w:rFonts w:ascii="Calibri" w:hAnsi="Calibri"/>
          <w:b w:val="0"/>
          <w:color w:val="3A4A28"/>
          <w:sz w:val="20"/>
        </w:rPr>
        <w:t>Commercialization execution risk as a 174-person company attempting to build global sales and distribution infrastructure to compete with Edwards' and Medtronic's established TAVR commercial platforms, even with positive trial results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Anteris operates in the structural heart device space, requiring physical implantable hardware, extensive clinical trials (1,000-patient PARADIGM RCT), FDA PMA regulatory pathway, physician training, and catheterization procedure expertise [2][3]. AI cannot substitute for a biomimetic heart valve physically implanted during a catheterization procedure. The TAVR market requires material science innovation (ADAPT anti-calcification tissue technology), precision manufacturing, and multi-year regulatory clearance — all structurally immune to AI disruption. AI may incrementally improve imaging, procedural planning, and patient selection but cannot replace the physical device or the physician performing the procedure. No analysts have flagged AI as a disruption risk to structural heart devices. AI Opportunity (0/1): No AI-generated revenue. The company's competitive advantage is in biomaterials science and device engineering, not computational tools.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Anteris Technologies H1 2026 Financial Results — Revenue $1.5M (+28% YoY), net loss $52.1M, R&amp;D $40.8M, Q2 cash outflow $20.8M, cash $256.9M, August 2026</w:t>
      </w:r>
    </w:p>
    <w:p>
      <w:pPr>
        <w:spacing w:before="20" w:after="20"/>
        <w:ind w:left="170"/>
      </w:pPr>
      <w:r>
        <w:rPr>
          <w:rFonts w:ascii="Calibri" w:hAnsi="Calibri"/>
          <w:b/>
          <w:color w:val="4A6B25"/>
          <w:sz w:val="15"/>
        </w:rPr>
        <w:t xml:space="preserve">2. </w:t>
      </w:r>
      <w:r>
        <w:rPr>
          <w:rFonts w:ascii="Calibri" w:hAnsi="Calibri"/>
          <w:b w:val="0"/>
          <w:color w:val="3A4A28"/>
          <w:sz w:val="17"/>
        </w:rPr>
        <w:t>Anteris Technologies Company Website — About Us, DurAVR product information, ADAPT technology, Leadership Team,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Anteris Technologies Q1 2026 Results — Revenue $0.5M, net loss $22.9M, R&amp;D $17.5M, cash outflow $28.7M, April 2026</w:t>
      </w:r>
    </w:p>
    <w:p>
      <w:pPr>
        <w:spacing w:before="20" w:after="20"/>
        <w:ind w:left="170"/>
      </w:pPr>
      <w:r>
        <w:rPr>
          <w:rFonts w:ascii="Calibri" w:hAnsi="Calibri"/>
          <w:b/>
          <w:color w:val="4A6B25"/>
          <w:sz w:val="15"/>
        </w:rPr>
        <w:t xml:space="preserve">4. </w:t>
      </w:r>
      <w:r>
        <w:rPr>
          <w:rFonts w:ascii="Calibri" w:hAnsi="Calibri"/>
          <w:b w:val="0"/>
          <w:color w:val="3A4A28"/>
          <w:sz w:val="17"/>
        </w:rPr>
        <w:t>Anteris Technologies Press Release — First U.S. Patients Treated in PARADIGM Trial, FDA IDE Approval, CMS NCD 20.32 Reimbursement, May 2026</w:t>
      </w:r>
    </w:p>
    <w:p>
      <w:pPr>
        <w:spacing w:before="20" w:after="20"/>
        <w:ind w:left="170"/>
      </w:pPr>
      <w:r>
        <w:rPr>
          <w:rFonts w:ascii="Calibri" w:hAnsi="Calibri"/>
          <w:b/>
          <w:color w:val="4A6B25"/>
          <w:sz w:val="15"/>
        </w:rPr>
        <w:t xml:space="preserve">5. </w:t>
      </w:r>
      <w:r>
        <w:rPr>
          <w:rFonts w:ascii="Calibri" w:hAnsi="Calibri"/>
          <w:b w:val="0"/>
          <w:color w:val="3A4A28"/>
          <w:sz w:val="17"/>
        </w:rPr>
        <w:t>Anteris Technologies Corporate Culture — EmpowHer program, collaborative culture values,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AVR Key Statistics: Stock Price $8.15, D/E 1.3%, ROE -74.7%, Market Cap $794M, Avg Volume 1.02M,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