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AZN</w:t>
      </w:r>
      <w:r>
        <w:rPr>
          <w:rFonts w:ascii="Calibri" w:hAnsi="Calibri"/>
          <w:b/>
          <w:color w:val="1A2010"/>
          <w:sz w:val="40"/>
        </w:rPr>
        <w:t xml:space="preserve">  AstraZeneca PLC</w:t>
      </w:r>
    </w:p>
    <w:p>
      <w:pPr>
        <w:spacing w:after="120"/>
      </w:pPr>
      <w:r>
        <w:rPr>
          <w:rFonts w:ascii="Calibri" w:hAnsi="Calibri"/>
          <w:b/>
          <w:color w:val="6E8450"/>
          <w:sz w:val="18"/>
        </w:rPr>
        <w:t>GROWTH SLEEVE · 2026-09-04 · Inspire: -75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NYSE · United Kingdom</w:t>
      </w:r>
    </w:p>
    <w:p>
      <w:pPr>
        <w:spacing w:after="80"/>
      </w:pPr>
      <w:r>
        <w:rPr>
          <w:rFonts w:ascii="Calibri" w:hAnsi="Calibri"/>
          <w:b w:val="0"/>
          <w:color w:val="3A4A28"/>
          <w:sz w:val="20"/>
        </w:rPr>
        <w:t>AstraZeneca is a global biopharmaceutical company focused on the discovery, development, manufacturing, and commercialization of prescription medicines across oncology, cardiovascular/renal/metabolic, respiratory/immunology, and rare disease therapeutic areas. Under CEO Pascal Soriot's leadership since 2012, the company has transformed from a declining patent-cliff company into a growth leader, more than doubling revenue from $26.6B (2020) to $60.4B+ (TTM). H1 2026 revenue grew 6% at constant exchange rates (11% excluding Farxiga/Brilinta generics), with oncology up 15% to $14.1B. Named TIME Magazine's World's Most Sustainable Companies for a third consecutive year. Headquartered in Cambridge, England, with ADR trading on NYSE.</w:t>
      </w:r>
    </w:p>
    <w:p>
      <w:r>
        <w:rPr>
          <w:rFonts w:ascii="Calibri" w:hAnsi="Calibri"/>
          <w:b/>
          <w:color w:val="6E8450"/>
          <w:sz w:val="18"/>
        </w:rPr>
        <w:t>95,100 Employees · https://www.astrazeneca.com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AstraZeneca has executed one of the most dramatic transformations in pharmaceutical history under CEO Pascal Soriot, growing revenue from $26.6B in 2020 to $60.4B+ TTM through organic pipeline execution and the transformative $39B Alexion acquisition [1][2]. H1 2026 oncology revenues grew 15% to $14.1B, and rare disease posted double-digit growth. Multiple blockbusters including Tagrisso, Imfinzi, and Daiichi Sankyo-partnered Enhertu continue to expand. AI Deployment (1/2): AstraZeneca has created a dedicated AI unit led by CDO Brian Dummann, deploying generative AI across R&amp;D, clinical trial design, and operations [3]. CEO Soriot stated that 'AI is affecting every part of our company' and warned that pharma companies failing to adopt AI will be 'replaced' by Chinese competitors leveraging AI and robotics [3]. Cross-functional AI teams are working on drug discovery and precision medicine. However, no specific AI-driven revenue or cost savings have been quantified. Market Share (2/2): Category leader in oncology contributing ~44% of total revenue with 15% H1 growth. Maintains leadership in lung cancer (Tagrisso), breast cancer (Enhertu), and expanding in hematology, rare diseases, and respiratory [1]. Product Pipeline (2/2): On track for $80B revenue ambition by 2030 with a deep late-stage pipeline across oncology, rare disease, and respiratory/immunology. Specific next-generation assets with clear regulatory timelines [2]. R&amp;D Intensity (1/1): R&amp;D spending is among the highest in large pharma as a percentage of revenue, driving one of the most productive pipelines in the industry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AstraZeneca's purpose — to push the boundaries of science to deliver life-changing medicines — has been validated by 14+ years of consistent execution under Soriot that transformed a declining company into a global oncology and rare disease leader [2]. The purpose clearly drives strategic decisions including the $39B Alexion acquisition, heavy R&amp;D investment during uncertain periods, and expansion into rare diseases. Named TIME Magazine's World's Most Sustainable Companies for a third consecutive year [4]. However, the purpose has not yet survived a leadership transition beyond Soriot. Community Impact (1/2): AstraZeneca maintains Access to Medicines programs, Healthy Heart Africa initiative, and the Young Health Programme. Achieved 88% cumulative reduction in Scope 1 and 2 GHG emissions from 2015 baseline, and received CDP A rating for Climate [4]. These are substantial but standard for a large pharma company. Employee Retention (1/2): CEO Soriot's 14+ year tenure provides exceptional leadership continuity. The 95,100-person workforce has grown steadily alongside revenue. Board has 46% female and 31% ethnic minority representation [4]. No specific turnover data but leadership stability is above average. Insider Buying (0/2): No evidence of notable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AstraZeneca delivered H1 2026 revenue growth of 6% at constant exchange rates (11% excluding generic competition on Farxiga and Brilinta), with core EPS up 11% [1]. Forward P/E of 14.42 is well below the 20x target (scoring 1.0), representing attractive valuation for the growth profile. D/E of 64% is below the 70% target (scoring 1.0). ROE of 21.96% exceeds the 15% target (scoring 1.0 at 2x weight) [5]. Revenue growth 5yr CAGR of 17.2% (2020-2025) is exceptional for large-cap pharma, driven by Alexion acquisition and oncology expansion (scoring 1.0 at 2x weight). Profit margin of ~17.2% is slightly below the 20% target (scoring 0.86) but expanding toward the mid-30s margin guidance. PEG ratio of 1.42 scores 0.79 at 2x weight. Liquidity is ample with ~$385M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AstraZeneca under Pascal Soriot exemplifies infinite game thinking. Soriot inherited a company in secular decline from patent cliffs and made bold, long-term bets on oncology, rare diseases, and pipeline investment that took years to pay off. The $39B Alexion acquisition, heavy R&amp;D spending during uncertain periods, and the transformation from a declining generics play into a global innovation leader all reflect decisions made in service of a long-term purpose rather than quarterly earnings optimization. His explicit concern about Chinese AI-driven competitors shows competitive awareness oriented toward self-improvement, not complacency.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AstraZeneca's purpose of pushing the boundaries of science to deliver life-changing medicines has been validated by 14+ years of transformative execution under Soriot [2]. The purpose clearly shapes strategic decisions: the $39B Alexion acquisition for rare diseases, heavy R&amp;D investment even during patent cliff periods, and expansion into oncology were all driven by the mission. TIME Magazine recognition as one of the World's Most Sustainable Companies for three consecutive years adds validation [4]. However, the purpose has not yet survived a leadership transition beyond Soriot.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AstraZeneca has demonstrated stable leadership under Soriot with cross-functional AI teams and a culture that views AI as augmenting rather than replacing human capability [3]. Board diversity (46% female, 31% ethnic minority) and ESG goals linked to executive compensation signal organizational values [4]. The company has grown to 95,100 employees without significant cultural controversies, and CDO Dummann describes a culture 'that values curiosity and supports experimentation.' However, no specific evidence of exceptional psychological safety or above-average retention metrics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AstraZeneca acknowledges competitors' strengths and uses them as motivation to improve. CEO Soriot's explicit concern about Chinese pharma companies 'using AI and robotics' to outpace Western pharma reflects competitive awareness oriented toward self-improvement rather than dismissal [3]. The Daiichi Sankyo collaboration on Enhertu demonstrates willingness to partner with organizations having complementary strengths rather than building everything internally [1]. Competitive language focuses on 'pushing boundaries' and 'delivering life-changing medicines.'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Soriot's transformation of AstraZeneca is a textbook example of existential flexibility. He took a company in terminal patent-cliff decline and fundamentally reinvented it as an oncology and rare disease powerhouse, more than doubling revenue from $26.6B (2020) to $60.4B+ TTM [2]. The $39B Alexion acquisition and the strategic pivot to oncology leadership were transformative bets that redefined the company. The current proactive AI adoption and organizational restructuring around AI capabilities shows continued willingness to transform.</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Soriot has demonstrated a pattern of courageous long-term bets. He fought off a Pfizer hostile takeover in 2014 to maintain AstraZeneca's independent pipeline-focused strategy when short-term shareholders would have benefited from the premium [2]. He invested heavily in R&amp;D during the patent cliff when earnings were declining. The $39B Alexion acquisition was a bold bet on rare diseases that took years to validate. His candid warning that pharma must adopt AI or be 'replaced' by Chinese competitors shows willingness to confront uncomfortable truths [3]. Each decision prioritized long-term capability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AstraZeneca delivered H1 2026 revenue growth of 6% at constant exchange rates (11% excluding generic competition), with oncology up 15% to $14.1B and core EPS up 11% [1]. The company guided for mid-to-high-single-digit revenue growth and low double-digit EPS growth for full-year 2026. Under Soriot's 14-year transformation, revenue has more than doubled from $26.6B (2020) to $60.4B+ TTM, with the $80B 2030 revenue ambition providing a clear compounding path [2]. Forward P/E of 14.42x with D/E of 64% and ROE of 21.96% represents attractive value for a diversified pharma compounder with leadership positions in oncology and rare disease [5]. The proactive AI adoption strategy, with a dedicated CDO and AI unit deploying generative AI across R&amp;D and operations, positions AstraZeneca ahead of pharma peers in operational efficiency [3].</w:t>
      </w:r>
    </w:p>
    <w:p>
      <w:pPr>
        <w:spacing w:after="120"/>
      </w:pPr>
      <w:r>
        <w:rPr>
          <w:rFonts w:ascii="Calibri" w:hAnsi="Calibri"/>
          <w:b w:val="0"/>
          <w:color w:val="3A4A28"/>
          <w:sz w:val="20"/>
        </w:rPr>
        <w:t>The primary concern is execution risk on ambitious growth targets and approaching patent cliffs. The $80B 2030 revenue ambition requires sustained high-single-digit growth from a $60B base, implying material contribution from pipeline products not yet launched [2]. Patent cliffs for Tagrisso (2032) and other key assets create medium-term headwinds that must be offset by pipeline replenishment. Profit margin of ~17% remains well below the mid-30s target, and the path to margin expansion depends on operational leverage and mix shift toward higher-margin products. H1 2026 revenue growth of just 6% (before excluding generics) signals the drag from Farxiga and Brilinta generic competition [1]. The Inspire Insight score of -75 (MISALIGNED) due to Embryonic Stem Cells and LGBT Activism attributions constrains allocation for faith-aligned investors. China market exposure (10-15% of revenue) creates ongoing regulatory, pricing, and geopolitical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Oncology portfolio growth at 15% H1 pace to $14.1B, driven by Enhertu indication expansion, Imfinzi growth in immuno-oncology, and late-stage pipeline readouts supporting the $80B 2030 revenue ambition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mid-teens to mid-30s through operational leverage, AI-driven R&amp;D efficiency, and mix shift toward higher-margin oncology and rare disease products — with AI deployment explicitly endorsed by CEO as affecting 'every part of the company' [3]</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to 14.42x represents potential re-rating opportunity as the market recognizes the quality of the growth profile, especially if late-stage pipeline readouts de-risk the 2030 revenue pathway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Tagrisso patent cliff (2032) and Farxiga/Brilinta generic competition already dragging growth — H1 2026 revenue growth was 6% headline vs 11% excluding generics, creating $15B+ of revenue at risk over the next 6-8 years [1]</w:t>
      </w:r>
    </w:p>
    <w:p>
      <w:pPr>
        <w:spacing w:before="40" w:after="40"/>
        <w:ind w:left="283"/>
      </w:pPr>
      <w:r>
        <w:rPr>
          <w:rFonts w:ascii="Calibri" w:hAnsi="Calibri"/>
          <w:b/>
          <w:color w:val="4A6B25"/>
          <w:sz w:val="20"/>
        </w:rPr>
        <w:t xml:space="preserve">2. </w:t>
      </w:r>
      <w:r>
        <w:rPr>
          <w:rFonts w:ascii="Calibri" w:hAnsi="Calibri"/>
          <w:b w:val="0"/>
          <w:color w:val="3A4A28"/>
          <w:sz w:val="20"/>
        </w:rPr>
        <w:t>Profit margin of ~17% is well below the mid-30s target, and failure to execute on operational leverage and mix shift could result in earnings growth disappointing relative to revenue growth ambitions [5]</w:t>
      </w:r>
    </w:p>
    <w:p>
      <w:pPr>
        <w:spacing w:before="40" w:after="40"/>
        <w:ind w:left="283"/>
      </w:pPr>
      <w:r>
        <w:rPr>
          <w:rFonts w:ascii="Calibri" w:hAnsi="Calibri"/>
          <w:b/>
          <w:color w:val="4A6B25"/>
          <w:sz w:val="20"/>
        </w:rPr>
        <w:t xml:space="preserve">3. </w:t>
      </w:r>
      <w:r>
        <w:rPr>
          <w:rFonts w:ascii="Calibri" w:hAnsi="Calibri"/>
          <w:b w:val="0"/>
          <w:color w:val="3A4A28"/>
          <w:sz w:val="20"/>
        </w:rPr>
        <w:t>China market exposure (10-15% of revenue) creates regulatory, pricing, and geopolitical risk, amplified by CEO Soriot's acknowledgment that Chinese competitors are advancing faster in AI and robotics-driven drug development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AstraZeneca's core pharmaceutical business is structurally protected from AI disruption. Drug manufacturing, clinical trials, regulatory approval, and patient care require physical-world processes, deeply regulated frameworks, and decades of accumulated expertise that AI cannot substitute [3]. The oncology franchise, rare disease portfolio, and global distribution infrastructure create structural moats. CEO Soriot has explicitly framed AI as an enabler, warning that companies not adopting AI will be 'replaced by Chinese competitors using AI and robotics' — demonstrating awareness and proactive response to AI-driven competitive dynamics rather than vulnerability [3]. The modest risk comes from AI-native biotech startups potentially using AI to discover competing therapies faster. AI Opportunity (1/1): AstraZeneca has established a dedicated AI unit under CDO Brian Dummann and is deploying generative AI and agentic AI across R&amp;D, clinical trial design, and operations at scale. CEO Soriot publicly confirmed AI impacts every part of the company [3]. Cross-functional AI teams are accelerating drug discovery and precision medicine, creating measurable value across the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AstraZeneca H1 2026 Results — Revenue +6% CER (+11% ex-generics), Oncology +15% to $14.1B, Core EPS +11%, July 2026</w:t>
      </w:r>
    </w:p>
    <w:p>
      <w:pPr>
        <w:spacing w:before="20" w:after="20"/>
        <w:ind w:left="170"/>
      </w:pPr>
      <w:r>
        <w:rPr>
          <w:rFonts w:ascii="Calibri" w:hAnsi="Calibri"/>
          <w:b/>
          <w:color w:val="4A6B25"/>
          <w:sz w:val="15"/>
        </w:rPr>
        <w:t xml:space="preserve">2. </w:t>
      </w:r>
      <w:r>
        <w:rPr>
          <w:rFonts w:ascii="Calibri" w:hAnsi="Calibri"/>
          <w:b w:val="0"/>
          <w:color w:val="3A4A28"/>
          <w:sz w:val="17"/>
        </w:rPr>
        <w:t>AstraZeneca Full Year 2025 Results and 2026 Guidance — Revenue +8%, Core Profit +11%, $80B 2030 Ambition, February 2026</w:t>
      </w:r>
    </w:p>
    <w:p>
      <w:pPr>
        <w:spacing w:before="20" w:after="20"/>
        <w:ind w:left="170"/>
      </w:pPr>
      <w:r>
        <w:rPr>
          <w:rFonts w:ascii="Calibri" w:hAnsi="Calibri"/>
          <w:b/>
          <w:color w:val="4A6B25"/>
          <w:sz w:val="15"/>
        </w:rPr>
        <w:t xml:space="preserve">3. </w:t>
      </w:r>
      <w:r>
        <w:rPr>
          <w:rFonts w:ascii="Calibri" w:hAnsi="Calibri"/>
          <w:b w:val="0"/>
          <w:color w:val="3A4A28"/>
          <w:sz w:val="17"/>
        </w:rPr>
        <w:t>AstraZeneca AI Strategy — CEO Soriot on Chinese Competition and AI Adoption, CDO Brian Dummann on AI Governance and Innovation, Semafor/CDO Magazine, 2026</w:t>
      </w:r>
    </w:p>
    <w:p>
      <w:pPr>
        <w:spacing w:before="20" w:after="20"/>
        <w:ind w:left="170"/>
      </w:pPr>
      <w:r>
        <w:rPr>
          <w:rFonts w:ascii="Calibri" w:hAnsi="Calibri"/>
          <w:b/>
          <w:color w:val="4A6B25"/>
          <w:sz w:val="15"/>
        </w:rPr>
        <w:t xml:space="preserve">4. </w:t>
      </w:r>
      <w:r>
        <w:rPr>
          <w:rFonts w:ascii="Calibri" w:hAnsi="Calibri"/>
          <w:b w:val="0"/>
          <w:color w:val="3A4A28"/>
          <w:sz w:val="17"/>
        </w:rPr>
        <w:t>AstraZeneca Sustainability — TIME World's Most Sustainable Companies (3rd yr), CDP A Climate Rating, 88% Scope 1+2 GHG Reduction,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AZN Key Statistics: Forward P/E 14.42x, D/E 64%, ROE 21.96%,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