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A</w:t>
      </w:r>
      <w:r>
        <w:rPr>
          <w:rFonts w:ascii="Calibri" w:hAnsi="Calibri"/>
          <w:b/>
          <w:color w:val="1A2010"/>
          <w:sz w:val="40"/>
        </w:rPr>
        <w:t xml:space="preserve">  Agilent Technologies, Inc.</w:t>
      </w:r>
    </w:p>
    <w:p>
      <w:pPr>
        <w:spacing w:after="120"/>
      </w:pPr>
      <w:r>
        <w:rPr>
          <w:rFonts w:ascii="Calibri" w:hAnsi="Calibri"/>
          <w:b/>
          <w:color w:val="6E8450"/>
          <w:sz w:val="18"/>
        </w:rPr>
        <w:t>GROWTH SLEEVE · 2026-10-20 · Inspire: -73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Diagnostics &amp; Research · NYQ · United States</w:t>
      </w:r>
    </w:p>
    <w:p>
      <w:pPr>
        <w:spacing w:after="80"/>
      </w:pPr>
      <w:r>
        <w:rPr>
          <w:rFonts w:ascii="Calibri" w:hAnsi="Calibri"/>
          <w:b w:val="0"/>
          <w:color w:val="3A4A28"/>
          <w:sz w:val="20"/>
        </w:rPr>
        <w:t>Agilent Technologies, Inc. provides analytical instruments, software, services, and consumables for the life sciences, diagnostics, and applied chemical markets worldwide. Operating through Life Sciences and Diagnostics Markets, Agilent CrossLab, and Applied Markets segments, the company reported Q3 FY2026 revenue of $1.88B (+8.1% YoY) with pharma growing 12% and Advanced Therapeutics 30%. Founded in 1999 as a Hewlett-Packard spin-off and headquartered in Santa Clara, California, Agilent employs 18,200 people.</w:t>
      </w:r>
    </w:p>
    <w:p>
      <w:r>
        <w:rPr>
          <w:rFonts w:ascii="Calibri" w:hAnsi="Calibri"/>
          <w:b/>
          <w:color w:val="6E8450"/>
          <w:sz w:val="18"/>
        </w:rPr>
        <w:t>18,200 Employees · https://www.agilent.com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Agilent reorganized in November 2024 into three market-focused business units and achieved modest revenue recovery to $7.37B in FY2026 after two years of decline (FY2023 $6.83B, FY2024 $6.51B), but the reorganization was structural rather than product-transformative — no new product category or business model pivot was launched in the last 5 years [1][2]. AI Deployment (1/2): Agilent announced a collaboration with OpenAI and BCG in June 2026 to integrate AI across products, operations, and customer workflows, with CEO Padraig McDonnell calling AI 'a top priority' and prioritizing initial use cases designed to 'materially enhance the customer experience and accelerate its new product pipeline' [3]. However, no AI products have shipped with measurable revenue or cost savings. Market Share (1/2): Agilent is a market leader in analytical instruments including chromatography and mass spectrometry, with a strong competitive position in life sciences but sharing the market with Thermo Fisher, Waters, and Shimadzu rather than dominating a category [1]. Product Pipeline (1/2): Advanced Therapeutics growing 30% and pharma growing 12% in Q3 FY2026 indicate healthy end-market demand, and the OpenAI partnership suggests AI-enhanced instruments are in development, but no specific next-gen products have been named with launch dates [1][3]. R&amp;D Intensity (1/1): Agilent invests significantly in R&amp;D relative to the analytical instruments industry, consistent with its position as a premium instruments and solutions provider with 53.6% gross margin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Agilent's purpose — 'Advancing Quality of Life' through analytical science that enables a 'healthier, safer, and more environmentally sustainable world' — is specific, thoughtful, and connects the company's instrumentation work to a larger purpose [3]. The mission differentiates Agilent from peers by framing its instruments as tools for scientific discovery rather than commodity laboratory equipment, and strategic decisions (serving pharma, diagnostics, environmental testing) trace back to this purpose. Community Impact (1/2): Agilent publishes annual ESG reports covering emissions, product sustainability, and workforce diversity, and its Sustainalytics ESG risk score of 13.6 (Low) with strong management of ESG material risks indicates institutional commitment to sustainability [4]. However, no specific charitable dollar amounts or distinctive community programs were identified. Employee Retention (0/2): No specific voluntary turnover data or average tenure statistics are publicly available. CEO Padraig McDonnell is relatively new, limiting evidence of leadership continuity driving retention. Insider Buying (0/2): No evidence of meaningful net insider buying by McDonnell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 stock (dividend yield of 0.6% fails the &gt;2% threshold for Dividend sleeve). Agilent's financial profile reflects a high-quality, moderate-growth business with premium profitability. D/E of 56.3% is well below the 70% target (score 1.0), and ROE of 21.0% exceeds the 15% target (score 1.0, 2x weight) [1]. Revenue growth of 8.1% YoY falls slightly short of the 10% target (score 0.94), reflecting recovery from the FY2023-FY2024 cyclical trough when life sciences spending softened. The 5-year revenue CAGR of approximately 5.4% (FY2020 $5.34B to FY2025 $6.95B) scores 0.69 (2x weight), constrained by the two-year downturn. Forward P/E of 25.2 scores 0.87, and PEG of 1.43 scores 0.79 (2x weight), reflecting premium but not extreme valuation. Profit margin of 19.5% narrowly misses the 20% target (score 0.98). Daily dollar volume of $381M provides ample liquidity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Agilent demonstrates a mixed but positive infinite game profile, anchored by a genuine purpose connecting analytical science to human health and environmental sustainability, validated by the company's evolution from HP's electronic test equipment division into a focused life sciences instruments leader. The OpenAI/BCG partnership and 2024 reorganization show strategic adaptability, and the collaborative approach to competition reflects an improvement-oriented rather than zero-sum mindset. However, the relatively new CEO and absence of evidence of costly courageous decisions limit the score.</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Agilent's purpose — 'Advancing Quality of Life' through analytical science — is genuine, distinctive, and connects the company's work to scientific discovery, human health, and environmental sustainability [3]. Strategic decisions including the pharma/biotech focus, diagnostic instrument development, and environmental testing capabilities trace back to this cause. The mission has been consistent through the HP spinoff (1999) and multiple strategic evolutions, though it has not been tested through the kind of existential crisis that validates the highest-scoring causes.</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Agilent has maintained organizational stability through its recent reorganization and CEO transition to Padraig McDonnell, with low Sustainalytics controversy level (2/5) suggesting no major employee or labor disputes [4]. The company references 'leveraging a deep bench of in-house talent' in its communications, but this is corporate messaging rather than independent evidence of exceptional trust or employee empowerment. No specific turnover or tenure data distinguishes Agilent from industry norms.</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Agilent's OpenAI/BCG collaboration demonstrates a collaborative rather than fortress-like approach to competition — partnering with an AI leader to enhance its instruments rather than trying to build AI capabilities in isolation [3]. The company's competitive strategy focuses on serving customer workflows and advancing scientific outcomes rather than attacking competitors like Thermo Fisher or Waters, reflecting an improvement-oriented mindset consistent with Sinek's framework.</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Agilent successfully evolved from HP's electronic test and measurement division (spun off 1999) into a focused life sciences and analytical instruments company, divesting the electronic measurement business as Keysight Technologies in 2014 [3]. The November 2024 reorganization into market-focused business units with embedded AI shows continued adaptation. However, these were incremental evolutions rather than a transformative reinvention that abandoned a profitable core business.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reorganize into three market-focused business units in November 2024, during a revenue downturn (FY2024 revenue of $6.51B, down from $6.83B in FY2023), and the investment in an OpenAI/BCG AI partnership show some willingness to invest in capability during difficult periods [1][3]. However, no evidence of a major costly long-term bet or principled decision that sacrificed near-term earnings for long-term capability was identified.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Agilent Technologies at $169.90 with a $47.9B market cap is a high-quality analytical instruments franchise executing a cyclical recovery — Q3 FY2026 revenue of $1.88B grew 8.1% YoY with pharma up 12% and Advanced Therapeutics surging 30%, and management raised full-year guidance to $7.49-$7.51B (+7.8-8.1% reported) with non-GAAP EPS of $6.18-$6.21 [1][2]. The business model generates 53.6% gross margins with a recurring consumables-and-services base (CrossLab), ROE of 21%, and a conservative balance sheet with D/E of 56% and $1.76B cash against $4.15B debt. The OpenAI/BCG AI collaboration positions Agilent to embed AI across its instruments and workflows, potentially accelerating the new product pipeline and deepening customer switching costs [3].</w:t>
      </w:r>
    </w:p>
    <w:p>
      <w:pPr>
        <w:spacing w:after="120"/>
      </w:pPr>
      <w:r>
        <w:rPr>
          <w:rFonts w:ascii="Calibri" w:hAnsi="Calibri"/>
          <w:b w:val="0"/>
          <w:color w:val="3A4A28"/>
          <w:sz w:val="20"/>
        </w:rPr>
        <w:t>The bear case centers on slow growth and premium valuation. At 25.2x forward earnings and a PEG of 1.43, the market prices Agilent as a mid-teens earnings grower, but revenue growth has been anemic — the 5-year CAGR is just 5.4%, including two years of revenue decline (FY2023-FY2024) driven by pharma/biotech spending destocking and China weakness [1][2]. The Q3 FY2026 results included a $17M tariff refund benefit inflating non-GAAP EPS by $0.06, suggesting underlying growth may be slower than headline numbers indicate. China grew only 9% in Q3 despite representing a key end-market, and tariff uncertainty creates headwinds for cross-border instrument sales. The OpenAI/BCG AI partnership is early-stage with no quantifiable revenue or product timelines, and Agilent faces well-funded competitors (Thermo Fisher at $208B market cap, Danaher at $175B) who are also investing in AI-enhanced instruments [3]. Faith alignment scores MISALIGNED (-73) due to embryonic stem cell and IVF-related instrument applications.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Advanced Therapeutics segment growing 30% YoY in Q3 FY2026 as AI-driven drug discovery accelerates demand for analytical instruments, with biopharma R&amp;D spending recovering from the 2023-2024 destocking cycle [1]</w:t>
      </w:r>
    </w:p>
    <w:p>
      <w:pPr>
        <w:spacing w:before="40" w:after="40"/>
        <w:ind w:left="283"/>
      </w:pPr>
      <w:r>
        <w:rPr>
          <w:rFonts w:ascii="Calibri" w:hAnsi="Calibri"/>
          <w:b/>
          <w:color w:val="4A6B25"/>
          <w:sz w:val="20"/>
        </w:rPr>
        <w:t xml:space="preserve">2. </w:t>
      </w:r>
      <w:r>
        <w:rPr>
          <w:rFonts w:ascii="Calibri" w:hAnsi="Calibri"/>
          <w:b w:val="0"/>
          <w:color w:val="3A4A28"/>
          <w:sz w:val="20"/>
        </w:rPr>
        <w:t>OpenAI/BCG collaboration embedding AI across instruments and customer workflows, potentially creating differentiated products with higher switching costs and accelerating the new product pipeline [3]</w:t>
      </w:r>
    </w:p>
    <w:p>
      <w:pPr>
        <w:spacing w:before="40" w:after="40"/>
        <w:ind w:left="283"/>
      </w:pPr>
      <w:r>
        <w:rPr>
          <w:rFonts w:ascii="Calibri" w:hAnsi="Calibri"/>
          <w:b/>
          <w:color w:val="4A6B25"/>
          <w:sz w:val="20"/>
        </w:rPr>
        <w:t xml:space="preserve">3. </w:t>
      </w:r>
      <w:r>
        <w:rPr>
          <w:rFonts w:ascii="Calibri" w:hAnsi="Calibri"/>
          <w:b w:val="0"/>
          <w:color w:val="3A4A28"/>
          <w:sz w:val="20"/>
        </w:rPr>
        <w:t>Full-year FY2026 guidance raised to $7.49-$7.51B revenue and $6.18-$6.21 non-GAAP EPS, with Q4 revenue expected at $1.98-$2.0B representing continued acceleration from the cyclical trough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Five-year revenue CAGR of just 5.4% indicates a mature business that experienced two consecutive years of decline, and the current recovery to 8.1% YoY growth may be cyclical mean-reversion rather than sustainable acceleration [1][2]</w:t>
      </w:r>
    </w:p>
    <w:p>
      <w:pPr>
        <w:spacing w:before="40" w:after="40"/>
        <w:ind w:left="283"/>
      </w:pPr>
      <w:r>
        <w:rPr>
          <w:rFonts w:ascii="Calibri" w:hAnsi="Calibri"/>
          <w:b/>
          <w:color w:val="4A6B25"/>
          <w:sz w:val="20"/>
        </w:rPr>
        <w:t xml:space="preserve">2. </w:t>
      </w:r>
      <w:r>
        <w:rPr>
          <w:rFonts w:ascii="Calibri" w:hAnsi="Calibri"/>
          <w:b w:val="0"/>
          <w:color w:val="3A4A28"/>
          <w:sz w:val="20"/>
        </w:rPr>
        <w:t>Premium valuation at 25.2x forward earnings and PEG of 1.43 leaves limited margin of safety — the Q3 FY2026 EPS included a $0.06 tariff refund benefit, and any growth deceleration could trigger a multiple compression [1]</w:t>
      </w:r>
    </w:p>
    <w:p>
      <w:pPr>
        <w:spacing w:before="40" w:after="40"/>
        <w:ind w:left="283"/>
      </w:pPr>
      <w:r>
        <w:rPr>
          <w:rFonts w:ascii="Calibri" w:hAnsi="Calibri"/>
          <w:b/>
          <w:color w:val="4A6B25"/>
          <w:sz w:val="20"/>
        </w:rPr>
        <w:t xml:space="preserve">3. </w:t>
      </w:r>
      <w:r>
        <w:rPr>
          <w:rFonts w:ascii="Calibri" w:hAnsi="Calibri"/>
          <w:b w:val="0"/>
          <w:color w:val="3A4A28"/>
          <w:sz w:val="20"/>
        </w:rPr>
        <w:t>China recovery remains fragile at 9% growth, and escalating U.S.-China trade tensions and tariff uncertainty create headwinds for Agilent's cross-border instrument sales to Chinese laboratories and research institutions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Agilent's core business — physical analytical instruments (chromatography systems, mass spectrometers, spectroscopy equipment) and associated consumables and services — is structurally immune to AI substitution because laboratories require physical hardware to run samples regardless of AI advances [1]. Regulatory requirements for pharmaceutical testing (FDA GMP/GLP), environmental testing, and clinical diagnostics create additional barriers that AI software cannot bypass. AI actually increases demand for Agilent's instruments as pharmaceutical and biotech companies accelerate AI-driven drug discovery, which requires more analytical testing throughput — the Advanced Therapeutics segment's 30% growth in Q3 FY2026 partly reflects this dynamic [1]. Some risk exists that AI could optimize lab workflows to reduce instrument utilization, but the consumables-and-services revenue model (Agilent CrossLab) creates recurring revenue regardless of throughput efficiency. AI Opportunity (0/1): The OpenAI/BCG collaboration announced in June 2026 positions Agilent to embed AI in its instruments and software, but no quantifiable AI revenue stream has been disclosed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-73</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Embryonic Stem Cells </w:t>
      </w:r>
      <w:r>
        <w:rPr>
          <w:rFonts w:ascii="Calibri" w:hAnsi="Calibri"/>
          <w:b w:val="0"/>
          <w:color w:val="9DAF88"/>
          <w:sz w:val="17"/>
        </w:rPr>
        <w:t xml:space="preserve">  ·  </w:t>
      </w:r>
      <w:r>
        <w:rPr>
          <w:rFonts w:ascii="Calibri" w:hAnsi="Calibri"/>
          <w:b/>
          <w:color w:val="DC2626"/>
          <w:sz w:val="17"/>
        </w:rPr>
        <w:t xml:space="preserve"> In Vitro Fertilization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Fair Competition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Agilent Technologies Q3 FY2026 Earnings — Revenue $1.88B (+8.1%), Non-GAAP EPS $1.62, Pharma +12%, Advanced Therapeutics +30%, FY2026 Guidance Raised — SEC 8-K Filing, August 2026</w:t>
      </w:r>
    </w:p>
    <w:p>
      <w:pPr>
        <w:spacing w:before="20" w:after="20"/>
        <w:ind w:left="170"/>
      </w:pPr>
      <w:r>
        <w:rPr>
          <w:rFonts w:ascii="Calibri" w:hAnsi="Calibri"/>
          <w:b/>
          <w:color w:val="4A6B25"/>
          <w:sz w:val="15"/>
        </w:rPr>
        <w:t xml:space="preserve">2. </w:t>
      </w:r>
      <w:r>
        <w:rPr>
          <w:rFonts w:ascii="Calibri" w:hAnsi="Calibri"/>
          <w:b w:val="0"/>
          <w:color w:val="3A4A28"/>
          <w:sz w:val="17"/>
        </w:rPr>
        <w:t>Agilent Technologies Q2 FY2026 Earnings — Revenue $1.83B (+10.0% Reported, +6.3% Core), Q1 Revenue $1.80B (+7.0%) — SEC 8-K Filing, May 2026</w:t>
      </w:r>
    </w:p>
    <w:p>
      <w:pPr>
        <w:spacing w:before="20" w:after="20"/>
        <w:ind w:left="170"/>
      </w:pPr>
      <w:r>
        <w:rPr>
          <w:rFonts w:ascii="Calibri" w:hAnsi="Calibri"/>
          <w:b/>
          <w:color w:val="4A6B25"/>
          <w:sz w:val="15"/>
        </w:rPr>
        <w:t xml:space="preserve">3. </w:t>
      </w:r>
      <w:r>
        <w:rPr>
          <w:rFonts w:ascii="Calibri" w:hAnsi="Calibri"/>
          <w:b w:val="0"/>
          <w:color w:val="3A4A28"/>
          <w:sz w:val="17"/>
        </w:rPr>
        <w:t>Agilent OpenAI/BCG AI Collaboration — AI Integration Across Products and Operations, CEO Padraig McDonnell AI Priority, November 2024 Reorganization — Nasdaq.com, CLP Magazine, June 2026</w:t>
      </w:r>
    </w:p>
    <w:p>
      <w:pPr>
        <w:spacing w:before="20" w:after="20"/>
        <w:ind w:left="170"/>
      </w:pPr>
      <w:r>
        <w:rPr>
          <w:rFonts w:ascii="Calibri" w:hAnsi="Calibri"/>
          <w:b/>
          <w:color w:val="4A6B25"/>
          <w:sz w:val="15"/>
        </w:rPr>
        <w:t xml:space="preserve">4. </w:t>
      </w:r>
      <w:r>
        <w:rPr>
          <w:rFonts w:ascii="Calibri" w:hAnsi="Calibri"/>
          <w:b w:val="0"/>
          <w:color w:val="3A4A28"/>
          <w:sz w:val="17"/>
        </w:rPr>
        <w:t>Agilent ESG Profile — Sustainalytics ESG Risk 13.6 (Low), Controversy Level 2/5, Annual ESG Reports — Yahoo Finance, Sustainalytics, 2023-2026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