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BAM</w:t>
      </w:r>
      <w:r>
        <w:rPr>
          <w:rFonts w:ascii="Calibri" w:hAnsi="Calibri"/>
          <w:b/>
          <w:color w:val="1A2010"/>
          <w:sz w:val="40"/>
        </w:rPr>
        <w:t xml:space="preserve">  Brookfield Asset Management Ltd.</w:t>
      </w:r>
    </w:p>
    <w:p>
      <w:pPr>
        <w:spacing w:after="120"/>
      </w:pPr>
      <w:r>
        <w:rPr>
          <w:rFonts w:ascii="Calibri" w:hAnsi="Calibri"/>
          <w:b/>
          <w:color w:val="6E8450"/>
          <w:sz w:val="18"/>
        </w:rPr>
        <w:t>GROWTH SLEEVE · 2026-09-02 · Inspire: 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Canada</w:t>
      </w:r>
    </w:p>
    <w:p>
      <w:pPr>
        <w:spacing w:after="80"/>
      </w:pPr>
      <w:r>
        <w:rPr>
          <w:rFonts w:ascii="Calibri" w:hAnsi="Calibri"/>
          <w:b w:val="0"/>
          <w:color w:val="3A4A28"/>
          <w:sz w:val="20"/>
        </w:rPr>
        <w:t>Brookfield Asset Management is one of the world's largest alternative asset managers with $1.3 trillion in assets under management across infrastructure, renewable energy, real estate, private equity, and credit [1]. Spun off from Brookfield Corporation in December 2022 as a pure-play asset management company, BAM earns fee-related revenue from managing capital across its flagship funds. Q2 2026 was a record quarter: fee-related earnings of $808M (+20% YoY), revenue of $1.75B (beating consensus by $280M), and record fundraising of $77B [1]. CEO Connor Teskey leads the asset management platform while Bruce Flatt, CEO of Brookfield Corp, drives the broader strategic vision including the AI infrastructure thesis that Flatt calls 'a $7 trillion opportunity' [3]. BAM's investment themes center on the 'three Ds': decarbonization, digitization, and de-globalization.</w:t>
      </w:r>
    </w:p>
    <w:p>
      <w:r>
        <w:rPr>
          <w:rFonts w:ascii="Calibri" w:hAnsi="Calibri"/>
          <w:b/>
          <w:color w:val="6E8450"/>
          <w:sz w:val="18"/>
        </w:rPr>
        <w:t>https://bam.brookfield.com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Brookfield has executed multiple significant business expansions in the last 5 years: the $16B acquisition of Oaktree Capital Management, the buildout of Brookfield Reinsurance as an insurance platform, the expansion into private wealth distribution, and the C$9B acquisition of Boralex (Canadian renewable energy developer) in March 2026 [1][4]. Each initiative opened a meaningfully new revenue stream beyond traditional infrastructure and real estate management. The December 2022 spin-off of BAM itself was a transformative corporate structure change that unlocked value and created a pure-play fee model. AI Deployment (1/2): Brookfield is actively building AI data center infrastructure, with Bruce Flatt stating AI could become Brookfield's largest business within 10 years [3]. While Brookfield is an infrastructure investor rather than an AI product company, its data center and power infrastructure investments are directly tied to AI demand and generating measurable deployment returns. Market Share (2/2): With $1.3T AUM, Brookfield is one of the four largest alternative asset managers globally (alongside Blackstone, KKR/Apollo). Record Q2 2026 fundraising of $77B demonstrates category leadership and accelerating share gains in alternatives [1]. Product Pipeline (1/2): BAM has outlined specific growth targets at Investor Day — doubling the firm's size over five years with 20% compound earnings growth through AI infrastructure and private wealth expansion [3]. The pipeline is directionally specific but tied to fund launches rather than named products with fixed dates. R&amp;D Intensity (0/1): Asset management does not have traditional R&amp;D spending as a measurable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Brookfield positions itself as an investor in critical infrastructure that underpins the global economy — the 'three Ds' framework (decarbonization, digitization, de-globalization) connects investment activity to broader societal transitions [3]. This is more purposeful than typical financial firms ('maximize returns') and reflects genuine intentionality, but remains primarily financial in orientation — the purpose is to invest well in important themes rather than to advance a vision of a better future independent of profit. Community Impact (1/2): Brookfield's renewable energy investments (over 30GW managed globally, plus the C$9B Boralex acquisition) represent significant community-scale environmental impact [4]. These are investment decisions rather than philanthropy, but the scale of capital deployed toward decarbonization exceeds most corporate charitable programs. Employee Retention (0/2): No specific employee retention metrics, tenure data, or voluntary turnover rates were found for BAM's asset management professionals. Insider Buying (1/2): Bruce Flatt is one of Brookfield's largest individual shareholders with an ownership stake valued in the billions, demonstrating profound alignment between leadership and long-term shareholder interests [3]. While specific net buying in the last 12 months was not identified, Flatt's concentrated personal wealth in Brookfield is one of the most well-documented insider alignment stories in global finance.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(5yr CAGR excluded — BAM listed December 2022, insufficient history). BAM demonstrates exceptional financial infrastructure across nearly every metric. D/E of 18% is among the lowest in the screening universe, reflecting the asset-light fee-based business model [5]. ROE of 22.57% exceeds the 15% target with 2x weight. Profit margin of 49.68% is outstanding — nearly 2.5x the 20% target — reflecting the high-margin nature of asset management fees [5]. Revenue growth YoY of approximately 18% (LTM FRE growth) exceeds the 10% target [1][2]. The primary valuation drag is Forward P/E of 23.62 (above 20x target, scoring 0.91) and PEG of 1.75 (between 1.0 target and 3.0 floor, scoring 0.63 with 2x weight). Liquidity is exceptional at approximately $89M daily dollar volume (1.57M shares x $56.42)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Brookfield is one of the strongest infinite-game players in global finance. Bruce Flatt's 24-year tenure as CEO (1990 joining, 2002 CEO) has provided extraordinary consistency of purpose through multiple market cycles, financial crises, and industry transformations. The company has fundamentally reinvented itself from a Canadian real estate and utilities conglomerate (Brascan Corporation) into a $1.3T global alternative asset manager — one of the most dramatic corporate transformations in financial services history [3]. The 'three Ds' framework (decarbonization, digitization, de-globalization) provides a long-term investment thesis that transcends quarterly results. The structured succession to Connor Teskey as BAM CEO demonstrates institutional continuity planning.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Brookfield's purpose — deploying long-term capital into critical infrastructure that underpins the global economy — is genuine, distinctive, and has been validated by decades of consistent execution [3]. The 'three Ds' framework connects investment activity to global transitions (decarbonization, digitization, de-globalization) in a way that transcends pure profit maximization. Bruce Flatt has held this infrastructure-oriented investment philosophy for over 20 years, demonstrating consistency through multiple market cycles. However, the ultimate purpose remains financial (generating returns for investors) rather than the kind of aspirational future-state vision that earns a perfect score from Sinek.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Brookfield maintains strong leadership continuity — Flatt since 1990, a structured succession to Teskey, and a decentralized operating model that gives significant autonomy to individual fund and operating group leaders [3]. The decentralized structure suggests trust in operating teams. However, no specific evidence of exceptional employee empowerment, cultural practices creating psychological safety, or employee satisfaction data was identified. The institutional structure of a large asset manager is typically hierarchical with performance-based compensation, which creates competitive dynamics within the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Bruce Flatt consistently acknowledges the strengths of competitors — Blackstone's distribution capabilities, KKR's operational value-add approach, Apollo's credit expertise — and uses competitive dynamics to improve Brookfield's platform [3]. Brookfield's expansion into insurance, private wealth, and AI infrastructure was partly inspired by watching competitors' success in these areas. The company competes on investment performance and long-term capital stewardship rather than predatory marketing or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Brookfield's transformation from Brascan Corporation (a Canadian conglomerate holding utilities, real estate, and mining assets) into a $1.3T global alternative asset manager is one of the most dramatic corporate reinventions in financial services history [3]. Under Flatt's leadership, the company shed its conglomerate discount identity, restructured into separate listed entities (BAM, BIP, BEP, BPY, BBU), pivoted from asset owner to asset manager, and is now pivoting again into AI infrastructure and insurance/reinsurance as primary growth engines. Each transformation was driven by the enduring purpose of deploying patient capital into critical infrastructure, not by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Brookfield demonstrates a pattern of enormous, costly long-term bets made when others are retreating. The company invested aggressively in renewable energy infrastructure ($30B+) years before ESG investing became mainstream [4]. The pivot into AI data center infrastructure represents a multi-billion-dollar bet on a thesis ('$7 trillion opportunity') that many competitors haven't yet committed to at scale [3]. The Oaktree Capital acquisition ($16B) during a period of credit market uncertainty demonstrated willingness to deploy capital counter-cyclically. The Boralex acquisition (C$9B) in 2026 continued the pattern of bold, long-term infrastructure bets. The December 2022 spin-off of BAM itself was a courageous structural decision that sacrificed the convenience of a single holding company for long-term value clarity.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BAM at 23.62x forward earnings is a premier alternative asset management franchise delivering accelerating growth — Q2 2026 record FRE of $808M (+20% YoY), revenue of $1.75B (beating consensus by 19%), and record fundraising of $77B demonstrate the platform's momentum [1]. With $1.3T AUM, BAM is one of four global leaders in alternatives, and the fee-based model produces exceptional margins (49.68% profit margin) with minimal balance sheet risk (D/E 18%) [5]. The AI infrastructure thesis is a genuine differentiator — Bruce Flatt's '$7 trillion opportunity' positioning puts Brookfield at the intersection of the two largest capital deployment themes of the decade (AI and energy transition), with the Boralex acquisition (C$9B) and data center buildouts as concrete proof points [3][4]. Management targets 20% compound earnings growth over the next five years, supported by private wealth expansion and the secular shift of institutional capital toward alternatives.</w:t>
      </w:r>
    </w:p>
    <w:p>
      <w:pPr>
        <w:spacing w:after="120"/>
      </w:pPr>
      <w:r>
        <w:rPr>
          <w:rFonts w:ascii="Calibri" w:hAnsi="Calibri"/>
          <w:b w:val="0"/>
          <w:color w:val="3A4A28"/>
          <w:sz w:val="20"/>
        </w:rPr>
        <w:t>The bear case centers on valuation, concentration risk, and cyclical sensitivity. Forward P/E of 23.62 and PEG of 1.75 price in substantial sustained growth — any fundraising deceleration or fee compression from alternative asset management competition would trigger multiple contraction [5]. The elevated payout ratio (~108-118%) means the dividend exceeds current earnings, creating sustainability risk if earnings growth stalls [5]. Brookfield's complex corporate structure (BAM, BN, BIP, BEP, BBU) creates potential conflicts of interest between listed entities, and related-party transactions between BAM and Brookfield Corp may disadvantage minority BAM shareholders. The AI infrastructure thesis, while compelling, requires massive capital deployment in data centers and power generation — execution risk is significant, and the payoff horizon extends beyond near-term earnings visibility [3]. The Inspire Impact Score of 0 (MIXED) with no positive or negative attributions reflects limited faith-based screening data, which may constrain allocation for Inspire-aligned investors. Revenue concentration in fundraising cycles makes BAM vulnerable to institutional investor sentiment shifts during market downturns.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and power infrastructure buildout could become BAM's largest business line within 10 years, according to Bruce Flatt, with Brookfield's existing 30GW+ renewable energy platform providing competitive advantage in powering AI workloads [3]</w:t>
      </w:r>
    </w:p>
    <w:p>
      <w:pPr>
        <w:spacing w:before="40" w:after="40"/>
        <w:ind w:left="283"/>
      </w:pPr>
      <w:r>
        <w:rPr>
          <w:rFonts w:ascii="Calibri" w:hAnsi="Calibri"/>
          <w:b/>
          <w:color w:val="4A6B25"/>
          <w:sz w:val="20"/>
        </w:rPr>
        <w:t xml:space="preserve">2. </w:t>
      </w:r>
      <w:r>
        <w:rPr>
          <w:rFonts w:ascii="Calibri" w:hAnsi="Calibri"/>
          <w:b w:val="0"/>
          <w:color w:val="3A4A28"/>
          <w:sz w:val="20"/>
        </w:rPr>
        <w:t>Private wealth distribution expansion — BAM is building retail distribution channels to access the multi-trillion-dollar private wealth market, which has historically been underweight alternatives, potentially doubling the firm's addressable fundraising universe [3]</w:t>
      </w:r>
    </w:p>
    <w:p>
      <w:pPr>
        <w:spacing w:before="40" w:after="40"/>
        <w:ind w:left="283"/>
      </w:pPr>
      <w:r>
        <w:rPr>
          <w:rFonts w:ascii="Calibri" w:hAnsi="Calibri"/>
          <w:b/>
          <w:color w:val="4A6B25"/>
          <w:sz w:val="20"/>
        </w:rPr>
        <w:t xml:space="preserve">3. </w:t>
      </w:r>
      <w:r>
        <w:rPr>
          <w:rFonts w:ascii="Calibri" w:hAnsi="Calibri"/>
          <w:b w:val="0"/>
          <w:color w:val="3A4A28"/>
          <w:sz w:val="20"/>
        </w:rPr>
        <w:t>Continued fundraising momentum — record Q2 2026 fundraising of $77B and LTM of ~$120B suggest BAM's flagship fund strategy is gaining institutional share, which would compound fee-related earnings as capital is deployed and generates management fees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Fundraising cyclicality — BAM's fee revenue is driven by new fund launches and capital deployment, making it vulnerable to institutional investor sentiment shifts; a market downturn or liquidity crisis could sharply reduce fundraising and management fee growth [1]</w:t>
      </w:r>
    </w:p>
    <w:p>
      <w:pPr>
        <w:spacing w:before="40" w:after="40"/>
        <w:ind w:left="283"/>
      </w:pPr>
      <w:r>
        <w:rPr>
          <w:rFonts w:ascii="Calibri" w:hAnsi="Calibri"/>
          <w:b/>
          <w:color w:val="4A6B25"/>
          <w:sz w:val="20"/>
        </w:rPr>
        <w:t xml:space="preserve">2. </w:t>
      </w:r>
      <w:r>
        <w:rPr>
          <w:rFonts w:ascii="Calibri" w:hAnsi="Calibri"/>
          <w:b w:val="0"/>
          <w:color w:val="3A4A28"/>
          <w:sz w:val="20"/>
        </w:rPr>
        <w:t>Related-party conflict risk between BAM and Brookfield Corporation (BN) — BAM manages assets on behalf of BN and other entities, creating potential conflicts in fee structures, deal allocation, and strategic priorities that could disadvantage minority BAM shareholders [3]</w:t>
      </w:r>
    </w:p>
    <w:p>
      <w:pPr>
        <w:spacing w:before="40" w:after="40"/>
        <w:ind w:left="283"/>
      </w:pPr>
      <w:r>
        <w:rPr>
          <w:rFonts w:ascii="Calibri" w:hAnsi="Calibri"/>
          <w:b/>
          <w:color w:val="4A6B25"/>
          <w:sz w:val="20"/>
        </w:rPr>
        <w:t xml:space="preserve">3. </w:t>
      </w:r>
      <w:r>
        <w:rPr>
          <w:rFonts w:ascii="Calibri" w:hAnsi="Calibri"/>
          <w:b w:val="0"/>
          <w:color w:val="3A4A28"/>
          <w:sz w:val="20"/>
        </w:rPr>
        <w:t>AI infrastructure execution risk — the '$7 trillion opportunity' requires massive capital deployment in data centers and power generation assets with long development timelines and uncertain demand-supply dynamics; overbuilding could compress returns on deployed capital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BAM's core business — managing alternative assets across infrastructure, renewable energy, real estate, private equity, and credit — is structurally immune to AI disruption. The business involves deploying capital into physical-world assets, negotiating complex multi-billion-dollar transactions, managing regulatory and government relationships across 30+ countries, and operating critical infrastructure that AI structurally cannot displace [1]. AI actually increases demand for BAM's core products: data centers, power infrastructure, and connectivity assets are the physical backbone of the AI revolution. Bruce Flatt has explicitly stated that AI data center infrastructure could become Brookfield's largest business line within 10 years [3]. The relationship-driven nature of raising $77B in a single quarter from institutional investors (sovereign wealth funds, pension plans, endowments) creates moats that AI cannot replicate. The only AI risk is potential automation of some portfolio analytics and due diligence workflows, which is a minor efficiency concern, not an existential threat. AI Opportunity (1/1): Brookfield is building AI data center and power infrastructure at massive scale, directly monetizing the AI investment boom. Bruce Flatt calls it a '$7 trillion opportunity' and is targeting it as potentially the firm's largest business [3]. The renewable energy platform (30GW+) also benefits from AI-driven power demand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Brookfield Asset Management Q2 2026 Earnings — Record FRE $808M (+20% YoY), Revenue $1.75B (Beat Consensus $1.47B), Net Income $1.2B, Record Fundraising $77B, AUM $1.3T, July 2026</w:t>
      </w:r>
    </w:p>
    <w:p>
      <w:pPr>
        <w:spacing w:before="20" w:after="20"/>
        <w:ind w:left="170"/>
      </w:pPr>
      <w:r>
        <w:rPr>
          <w:rFonts w:ascii="Calibri" w:hAnsi="Calibri"/>
          <w:b/>
          <w:color w:val="4A6B25"/>
          <w:sz w:val="15"/>
        </w:rPr>
        <w:t xml:space="preserve">2. </w:t>
      </w:r>
      <w:r>
        <w:rPr>
          <w:rFonts w:ascii="Calibri" w:hAnsi="Calibri"/>
          <w:b w:val="0"/>
          <w:color w:val="3A4A28"/>
          <w:sz w:val="17"/>
        </w:rPr>
        <w:t>Brookfield Asset Management Q1 2026 Earnings — FRE $772M (+11% YoY), Revenue $1.34B, LTM FRE $3.1B (+18% YoY), Fundraising $21B, May 2026</w:t>
      </w:r>
    </w:p>
    <w:p>
      <w:pPr>
        <w:spacing w:before="20" w:after="20"/>
        <w:ind w:left="170"/>
      </w:pPr>
      <w:r>
        <w:rPr>
          <w:rFonts w:ascii="Calibri" w:hAnsi="Calibri"/>
          <w:b/>
          <w:color w:val="4A6B25"/>
          <w:sz w:val="15"/>
        </w:rPr>
        <w:t xml:space="preserve">3. </w:t>
      </w:r>
      <w:r>
        <w:rPr>
          <w:rFonts w:ascii="Calibri" w:hAnsi="Calibri"/>
          <w:b w:val="0"/>
          <w:color w:val="3A4A28"/>
          <w:sz w:val="17"/>
        </w:rPr>
        <w:t>Bruce Flatt/Connor Teskey Leadership — AI Infrastructure '$7T Opportunity,' Three Ds Strategy, 20% Earnings Growth Target, Investor Day, Succession Planning, Bloomberg February-April 2026</w:t>
      </w:r>
    </w:p>
    <w:p>
      <w:pPr>
        <w:spacing w:before="20" w:after="20"/>
        <w:ind w:left="170"/>
      </w:pPr>
      <w:r>
        <w:rPr>
          <w:rFonts w:ascii="Calibri" w:hAnsi="Calibri"/>
          <w:b/>
          <w:color w:val="4A6B25"/>
          <w:sz w:val="15"/>
        </w:rPr>
        <w:t xml:space="preserve">4. </w:t>
      </w:r>
      <w:r>
        <w:rPr>
          <w:rFonts w:ascii="Calibri" w:hAnsi="Calibri"/>
          <w:b w:val="0"/>
          <w:color w:val="3A4A28"/>
          <w:sz w:val="17"/>
        </w:rPr>
        <w:t>Brookfield ESG and Acquisitions — Boralex C$9B Renewable Energy Acquisition, 30GW+ Renewable Portfolio, ESG Due Diligence Framework, March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BAM Key Statistics: Forward P/E 23.62, PEG 1.75, ROE 22.57%, D/E 18%, Profit Margin 49.68%, Market Cap ~$73B, Avg Volume 1.57M,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