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BAX</w:t>
      </w:r>
      <w:r>
        <w:rPr>
          <w:rFonts w:ascii="Calibri" w:hAnsi="Calibri"/>
          <w:b/>
          <w:color w:val="1A2010"/>
          <w:sz w:val="40"/>
        </w:rPr>
        <w:t xml:space="preserve">  Baxter International Inc.</w:t>
      </w:r>
    </w:p>
    <w:p>
      <w:pPr>
        <w:spacing w:after="120"/>
      </w:pPr>
      <w:r>
        <w:rPr>
          <w:rFonts w:ascii="Calibri" w:hAnsi="Calibri"/>
          <w:b/>
          <w:color w:val="6E8450"/>
          <w:sz w:val="18"/>
        </w:rPr>
        <w:t>GROWTH SLEEVE · 2026-10-05 · Inspire: 44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Instruments &amp; Supplies · NYQ · United States</w:t>
      </w:r>
    </w:p>
    <w:p>
      <w:pPr>
        <w:spacing w:after="80"/>
      </w:pPr>
      <w:r>
        <w:rPr>
          <w:rFonts w:ascii="Calibri" w:hAnsi="Calibri"/>
          <w:b w:val="0"/>
          <w:color w:val="3A4A28"/>
          <w:sz w:val="20"/>
        </w:rPr>
        <w:t>Baxter International provides a portfolio of hospital products across three segments: Medical Products &amp; Therapies (sterile IV solutions, infusion systems, parenteral nutrition), Healthcare Systems &amp; Technologies (smart beds, patient monitoring, surgical equipment), and Pharmaceuticals (injectable pharmaceuticals, inhaled anesthetics, drug compounding). The company completed the Vantive (Kidney Care) divestiture to Carlyle Group for ~$3.3B in January 2025 and has essentially eliminated its dividend. Q2 2026 sales rose 5% to $2.96B with management raising FY2026 guidance. CEO Andrew Hider (since September 2025) has launched the Baxter Growth &amp; Performance (GPS) operating system. Founded in 1931, headquartered in Deerfield, Illinois.</w:t>
      </w:r>
    </w:p>
    <w:p>
      <w:r>
        <w:rPr>
          <w:rFonts w:ascii="Calibri" w:hAnsi="Calibri"/>
          <w:b/>
          <w:color w:val="6E8450"/>
          <w:sz w:val="18"/>
        </w:rPr>
        <w:t>37,500 Employees · https://www.baxter.com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2021 Hillrom acquisition ($10.5B) expanded Baxter into connected healthcare technology (smart beds, patient monitoring, Welch Allyn diagnostics), and the January 2025 divestiture of Kidney Care/Vantive for ~$3.3B represents a genuine portfolio refocus toward core hospital products, though the stock has declined ~70% since the Hillrom acquisition and the Novum IQ pump recall marred execution [1][2]. AI Deployment (1/2): Baxter is offering the Pieces' AI platform to hospital care teams and references AI-enhanced diagnostics within its connected-care portfolio, indicating active AI engagement in clinical decision support, but no specific quantified AI-driven cost savings or standalone AI product revenue were identified [3]. Market Share (1/2): Baxter holds meaningful positions in IV solutions, infusion systems, and parenteral nutrition but was not identified as the clear category leader with specific share data; advanced surgery grew 12% and drug compounding showed double-digit growth in Q2 2026 [1]. Product Pipeline (0/2): No specific named next-generation products with launch dates and revenue visibility were identified beyond the ongoing GPS operating system improvements and Novum IQ pump remediation. R&amp;D Intensity (0/1): No data indicating Baxter's R&amp;D spend is above the medical device industry average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Baxter's stated mission — 'At Baxter, saving and sustaining lives is our calling' — is clear and healthcare-appropriate but is common phrasing across the medtech and pharma sector rather than a distinctively differentiated purpose [4]. Community Impact (1/2): Baxter publishes annual Corporate Responsibility Reports with a '2030 Corporate Responsibility Commitment' encompassing 10 goals under 'Empower our Patients, Protect our Planet, Champion our People and Communities,' has set net-zero by 2050 and 100% renewable electricity by 2040 targets, and created a Chief Sustainability Officer role, but no specific dollar amounts for community investment or distinctive philanthropic programs were identified [4]. Employee Retention (0/2): New CEO Andrew Hider joined in September 2025 from ATS Corporation; no specific employee turnover or tenure data was found, and the organizational disruption from the Vantive divestiture, Novum IQ recall, and leadership transition limits confidence in cultural stability. Insider Buying (0/2): No evidence of net insider buying was identified; CEO Hider joined via standard executive compensation rather than open-market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all seven metrics following the near-elimination of the dividend (yield 0.17%, down from 2.77% at last screen). Forward P/E of 11.5 clears the 20 target (score 1.0), reflecting depressed valuation that offers turnaround optionality [1]. Revenue growth of 5.3% YoY (score 0.84) shows improving but still below-target organic growth, with 5-year CAGR of approximately 3.8% (score 0.59, 2x weight) reflecting the Vantive divestiture's drag on trailing comparisons. D/E of 156.4% (score 0.62) remains elevated from the Hillrom acquisition debt. ROE of -14.4% (score 0.0, 2x weight) and profit margin of -9.3% (score 0.0) reflect the full-year impact of Novum IQ recall charges and restructuring costs. PEG of 36.68 (score 0.0, 2x weight) is essentially meaningless given the swing from deeply negative TTM earnings to positive forward estimates, but mechanically scores at the floor. Daily dollar volume of $154M provides adequate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Baxter presents a weak Infinite Game profile: a clear, service-oriented mission ('save and sustain lives') was directly and painfully tested by the 2025 Novum IQ Large Volume Pump safety crisis, in which the company continued sales after receiving reports of serious patient injury and two deaths before ultimately pausing shipments. The near-elimination of the dividend (from $1.16 to $0.04 annually) further signals finite-game, survival-mode capital allocation. Recent portfolio reshaping (Hillrom acquisition, Vantive divestiture) shows some willingness to adapt, but governance and trust questions raised by the recall and securities litigation weigh heavily.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Baxter's mission to 'save and sustain lives' is resilient and service-oriented in principle, but the 2025 Novum IQ crisis — 79 reports of serious injury and two patient deaths related to under-infusion risk, with securities class actions alleging misleading safety statements — directly contradicts a lived commitment to that cause [2]. The near-elimination of the dividend further suggests short-term financial survival is driving decisions over mission fidelity.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Andrew Hider's Baxter Growth &amp; Performance (GPS) system is explicitly framed as empowering employees to improve operations, and the company has been recognized for working-parent-friendly policies [1][3]. However, the Novum IQ safety failures — including delayed disclosure across successive warning letters — suggest gaps in internal escalation culture, and the rapid organizational changes (new CEO, Vantive divestiture, near-elimination of dividend) create uncertainty.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identified describing how Baxter frames competitive rivalry with peers such as Becton Dickinson, ICU Medical, or Fresenius in terms of learning from rivals'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2021 Hillrom acquisition (connected care technology) followed by the January 2025 Vantive divestiture for ~$3.3B and near-elimination of the dividend represent significant portfolio and capital structure reshaping [1]. The company has genuinely evolved from a broad healthcare conglomerate toward a focused hospital products business, though this is restructuring driven by financial necessity (excessive Hillrom debt) rather than cause-driven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Baxter voluntarily paused shipments and planned installations of the Novum IQ Large Volume Pump in July 2025, accepting a 22.4% single-day stock decline rather than continue shipping a product under safety scrutiny — a genuine example of prioritizing patient safety over near-term revenue [2]. However, the decision followed two prior warning letters and mounting external pressure rather than being fully proactive, and the subsequent near-elimination of the dividend suggests financial constraints rather than principled capital allocation.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Baxter at $23.49 with a $12.1B market cap is a turnaround story showing early signs of operational improvement under new CEO Andrew Hider. Q2 2026 sales rose 5% to $2.96B with all segments growing, advanced surgery up 12%, and management raised FY2026 guidance to $11.58-11.69B in sales and $1.95-2.15 in adjusted EPS [1]. Forward P/E of 11.5 is undemanding if the turnaround gains traction and margins normalize from currently negative GAAP levels. The Vantive divestiture for ~$3.3B sharpened the portfolio around core hospital products (IV solutions, infusion systems, connected care), and Hider's track record at ATS Corporation (nearly doubled adjusted revenue, tripled stock price) lends credibility to the GPS operating system he's implementing. Forward EPS of $2.04 implies a dramatic swing from TTM losses to meaningful profitability [1][3].</w:t>
      </w:r>
    </w:p>
    <w:p>
      <w:pPr>
        <w:spacing w:after="120"/>
      </w:pPr>
      <w:r>
        <w:rPr>
          <w:rFonts w:ascii="Calibri" w:hAnsi="Calibri"/>
          <w:b w:val="0"/>
          <w:color w:val="3A4A28"/>
          <w:sz w:val="20"/>
        </w:rPr>
        <w:t>The bear case is substantial and multi-dimensional. Trailing GAAP ROE of -14.4% and profit margin of -9.3% reflect significant financial damage from the 2025 Novum IQ Large Volume Pump recall (79 reports of serious injury, two patient deaths) and associated restructuring costs, with multiple securities class-action lawsuits creating ongoing financial and reputational exposure [2]. D/E of 156.4% is well above the Infrastructure target, reflecting the massive Hillrom acquisition debt that has not been adequately deleveraged, limiting financial flexibility. The near-elimination of the dividend (from $1.16 annually to $0.04, yield now 0.17%) signals the capital structure remains strained and represents a broken covenant with income investors [1]. PEG of 36.68 — while distorted by the earnings swing — suggests the market sees limited sustainable growth beyond the near-term recovery. Gross margin fell 210bps to 38.6% in Q2 2026 on higher-cost inventory and tariff impacts, and execution risk remains elevated as the company simultaneously integrates a new CEO, remediates a major safety failure, and digests the Vantive separation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 remediation and FDA clearance of the Novum IQ Large Volume Pump, which would remove the primary overhang on margins, investor trust, and potential securities litigation exposure [2]</w:t>
      </w:r>
    </w:p>
    <w:p>
      <w:pPr>
        <w:spacing w:before="40" w:after="40"/>
        <w:ind w:left="283"/>
      </w:pPr>
      <w:r>
        <w:rPr>
          <w:rFonts w:ascii="Calibri" w:hAnsi="Calibri"/>
          <w:b/>
          <w:color w:val="4A6B25"/>
          <w:sz w:val="20"/>
        </w:rPr>
        <w:t xml:space="preserve">2. </w:t>
      </w:r>
      <w:r>
        <w:rPr>
          <w:rFonts w:ascii="Calibri" w:hAnsi="Calibri"/>
          <w:b w:val="0"/>
          <w:color w:val="3A4A28"/>
          <w:sz w:val="20"/>
        </w:rPr>
        <w:t>Delivery of FY2026 guidance ($11.58-11.69B sales, $1.95-2.15 adjusted EPS) with margin expansion in the second half as tariff headwinds ease, validating the GPS operating system and new CEO Hider's turnaround execution [1]</w:t>
      </w:r>
    </w:p>
    <w:p>
      <w:pPr>
        <w:spacing w:before="40" w:after="40"/>
        <w:ind w:left="283"/>
      </w:pPr>
      <w:r>
        <w:rPr>
          <w:rFonts w:ascii="Calibri" w:hAnsi="Calibri"/>
          <w:b/>
          <w:color w:val="4A6B25"/>
          <w:sz w:val="20"/>
        </w:rPr>
        <w:t xml:space="preserve">3. </w:t>
      </w:r>
      <w:r>
        <w:rPr>
          <w:rFonts w:ascii="Calibri" w:hAnsi="Calibri"/>
          <w:b w:val="0"/>
          <w:color w:val="3A4A28"/>
          <w:sz w:val="20"/>
        </w:rPr>
        <w:t>Continued deleveraging from the 156.4% D/E level using Vantive divestiture proceeds and improving cash flow, which could eventually enable dividend restoration and re-rate the stock toward healthcare peer multiples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Multiple pending securities class-action lawsuits alleging Baxter made materially false and misleading statements about Novum IQ pump safety, with 79 reports of serious injury and two patient deaths tied to under-infusion risk, creating financial and reputational exposure of unknown magnitude [2]</w:t>
      </w:r>
    </w:p>
    <w:p>
      <w:pPr>
        <w:spacing w:before="40" w:after="40"/>
        <w:ind w:left="283"/>
      </w:pPr>
      <w:r>
        <w:rPr>
          <w:rFonts w:ascii="Calibri" w:hAnsi="Calibri"/>
          <w:b/>
          <w:color w:val="4A6B25"/>
          <w:sz w:val="20"/>
        </w:rPr>
        <w:t xml:space="preserve">2. </w:t>
      </w:r>
      <w:r>
        <w:rPr>
          <w:rFonts w:ascii="Calibri" w:hAnsi="Calibri"/>
          <w:b w:val="0"/>
          <w:color w:val="3A4A28"/>
          <w:sz w:val="20"/>
        </w:rPr>
        <w:t>Near-elimination of dividend (yield 0.17%, down from 2.77% at last screen) signals the capital structure remains strained despite the Vantive proceeds, with D/E of 156.4% limiting flexibility for a healthcare company that historically offered reliable income</w:t>
      </w:r>
    </w:p>
    <w:p>
      <w:pPr>
        <w:spacing w:before="40" w:after="40"/>
        <w:ind w:left="283"/>
      </w:pPr>
      <w:r>
        <w:rPr>
          <w:rFonts w:ascii="Calibri" w:hAnsi="Calibri"/>
          <w:b/>
          <w:color w:val="4A6B25"/>
          <w:sz w:val="20"/>
        </w:rPr>
        <w:t xml:space="preserve">3. </w:t>
      </w:r>
      <w:r>
        <w:rPr>
          <w:rFonts w:ascii="Calibri" w:hAnsi="Calibri"/>
          <w:b w:val="0"/>
          <w:color w:val="3A4A28"/>
          <w:sz w:val="20"/>
        </w:rPr>
        <w:t>Elevated execution risk as new CEO Hider simultaneously manages GPS implementation, Novum IQ remediation, post-Vantive separation integration, and tariff-driven margin pressure, any one of which could delay the turnaround trajectory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Baxter's core business — sterile IV fluid manufacturing, infusion hardware, parenteral nutrition, surgical equipment, and other physical hospital consumables and devices — operates in a heavily FDA-regulated, physical-infrastructure category that AI cannot directly substitute [1][3]. Hospitals will continue to require sterile IV solutions, infusion pumps, anesthetics, and surgical tools regardless of AI advances, with meaningful switching costs and regulatory barriers protecting against disruption. Scores 7 rather than 8-9 because Baxter's connected-care software layer (patient monitoring, smart bed analytics) faces competitive pressure from digital health entrants, and the Novum IQ software-driven safety failures illustrate execution risk in AI/software-adjacent portions of the portfolio [2]. AI Opportunity (0/1): While Baxter offers the Pieces' AI platform for hospital clinical decision support and references AI-enhanced diagnostics in its connected-care portfolio, no specific quantified AI-attributable revenue was identified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Baxter Q2 2026 Earnings — Sales $2.96B (+5%), Guidance Raised to $11.58-11.69B / $1.95-2.15 Adj EPS, Advanced Surgery +12%, Drug Compounding Double-Digit — SEC 8-K, GuruFocus, Morningstar, Investing.com, July 2026</w:t>
      </w:r>
    </w:p>
    <w:p>
      <w:pPr>
        <w:spacing w:before="20" w:after="20"/>
        <w:ind w:left="170"/>
      </w:pPr>
      <w:r>
        <w:rPr>
          <w:rFonts w:ascii="Calibri" w:hAnsi="Calibri"/>
          <w:b/>
          <w:color w:val="4A6B25"/>
          <w:sz w:val="15"/>
        </w:rPr>
        <w:t xml:space="preserve">2. </w:t>
      </w:r>
      <w:r>
        <w:rPr>
          <w:rFonts w:ascii="Calibri" w:hAnsi="Calibri"/>
          <w:b w:val="0"/>
          <w:color w:val="3A4A28"/>
          <w:sz w:val="17"/>
        </w:rPr>
        <w:t>Baxter Novum IQ Recall and Securities Litigation — FDA Class I Recall, 79 Injury Reports, 2 Deaths, Shipment Pause, Multiple Class Actions — Businesswire, Labaton Keller Sucharow, 2025-2026</w:t>
      </w:r>
    </w:p>
    <w:p>
      <w:pPr>
        <w:spacing w:before="20" w:after="20"/>
        <w:ind w:left="170"/>
      </w:pPr>
      <w:r>
        <w:rPr>
          <w:rFonts w:ascii="Calibri" w:hAnsi="Calibri"/>
          <w:b/>
          <w:color w:val="4A6B25"/>
          <w:sz w:val="15"/>
        </w:rPr>
        <w:t xml:space="preserve">3. </w:t>
      </w:r>
      <w:r>
        <w:rPr>
          <w:rFonts w:ascii="Calibri" w:hAnsi="Calibri"/>
          <w:b w:val="0"/>
          <w:color w:val="3A4A28"/>
          <w:sz w:val="17"/>
        </w:rPr>
        <w:t>Baxter Leadership and AI Strategy — CEO Andrew Hider (ATS Background), GPS Operating System, Pieces' AI Platform for Hospitals, Former CEO Kraemer AI Commentary — Fortune, VectorShift, Craft.co, 2025-2026</w:t>
      </w:r>
    </w:p>
    <w:p>
      <w:pPr>
        <w:spacing w:before="20" w:after="20"/>
        <w:ind w:left="170"/>
      </w:pPr>
      <w:r>
        <w:rPr>
          <w:rFonts w:ascii="Calibri" w:hAnsi="Calibri"/>
          <w:b/>
          <w:color w:val="4A6B25"/>
          <w:sz w:val="15"/>
        </w:rPr>
        <w:t xml:space="preserve">4. </w:t>
      </w:r>
      <w:r>
        <w:rPr>
          <w:rFonts w:ascii="Calibri" w:hAnsi="Calibri"/>
          <w:b w:val="0"/>
          <w:color w:val="3A4A28"/>
          <w:sz w:val="17"/>
        </w:rPr>
        <w:t>Baxter ESG and Sustainability — 2030 Corporate Responsibility Commitment, Net-Zero by 2050, Chief Sustainability Officer Role, Annual Corporate Responsibility Reports — Baxter.com, BusinessWire, ESG Today, 2022-2025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