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w:t>
      </w:r>
      <w:r>
        <w:rPr>
          <w:rFonts w:ascii="Calibri" w:hAnsi="Calibri"/>
          <w:b/>
          <w:color w:val="1A2010"/>
          <w:sz w:val="40"/>
        </w:rPr>
        <w:t xml:space="preserve">  The Boeing Company</w:t>
      </w:r>
    </w:p>
    <w:p>
      <w:pPr>
        <w:spacing w:after="120"/>
      </w:pPr>
      <w:r>
        <w:rPr>
          <w:rFonts w:ascii="Calibri" w:hAnsi="Calibri"/>
          <w:b/>
          <w:color w:val="6E8450"/>
          <w:sz w:val="18"/>
        </w:rPr>
        <w:t>GROWTH SLEEVE · 2026-10-14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The Boeing Company is the world's largest aerospace company and a leading manufacturer of commercial jetliners, defense, space, and security systems, and provider of aftermarket support services. Boeing operates through three segments: Commercial Airplanes, Defense Space &amp; Security, and Global Services, with a record backlog exceeding $715 billion and 6,200+ aircraft orders. CEO Kelly Ortberg is leading a multi-year turnaround after safety crises and production disruptions. Q2 FY2026 revenue was $24.6B (+8% YoY) with 171 commercial deliveries and FCF guidance of $1-3B for full-year 2026.</w:t>
      </w:r>
    </w:p>
    <w:p>
      <w:r>
        <w:rPr>
          <w:rFonts w:ascii="Calibri" w:hAnsi="Calibri"/>
          <w:b/>
          <w:color w:val="6E8450"/>
          <w:sz w:val="18"/>
        </w:rPr>
        <w:t>182,000 Employees · https://www.boeing.com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(0/3): Boeing has not successfully launched a meaningful new product in the last five years — the 737-7, 737-10, and 777X are all years behind schedule, Starliner faced repeated failures, and the company has been consumed by quality remediation rather than innovation [1][3]. AI Deployment (0/2): No evidence of specific AI-powered products shipping to customers or quantified internal AI-driven efficiency gains, though the defense segment includes autonomous systems research (MQ-25 Stingray). Market Share Leadership (1/2): Boeing remains one of two global commercial aircraft duopolists with Airbus, but has been steadily losing market share — Airbus consistently outdelivers Boeing, and new order share has tilted toward Airbus in recent years [1]. Product Pipeline (1/2): The 737-7 and 737-10 are nearing certification with first deliveries expected in 2027, and the 777X program continues development — specific products with approximate timelines but repeatedly delayed [1]. R&amp;D Intensity (1/1): Boeing's R&amp;D spending of ~$3.4B annually (~3.6% of revenue) is above average for aerospace/defense.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Boeing's mission to 'connect, protect, explore and inspire the world through aerospace innovation' is specific and thoughtful — it connects the company's work to human progress in aviation, defense, and space exploration, and reflects genuine intentionality about aerospace's role in civilization [4]. The mission has historically driven strategic decisions across commercial, defense, and space programs. Community Impact (1/2): Boeing's charitable giving includes the Boeing Global Engagement portfolio and employee Community Fund supporting STEM education and community development, though recent financial distress has limited new commitments [5]. Employee Retention (0/2): Poor retention environment — the 2024 IAM machinists' strike, whistleblower retaliation allegations (Ed Pierson, Sam Salehpour), five CEOs in 20 years, 17,000+ planned layoffs, and dueling DEI shareholder proposals signal organizational instability [6][7]. Insider Buying (0/2): No evidence of meaningful insider buying; CEO Ortberg was appointed in August 2024 and has not established an insider buying track record.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Boeing's extreme leverage (D/E 791%, score 0.0) reflects $48.4B in total debt accumulated through years of losses, share buybacks, and production halts [1][8]. ROE of 1.74% (score 0.12, 2x weight) is barely positive, reflecting the artificially small equity base and near-breakeven profitability. Revenue growth of 8% YoY (score 0.93) is solid as deliveries ramp, with Q1 at $22.2B (+14%) and Q2 at $24.6B (+8%) [1][2]. The 5-year revenue CAGR of ~10% (score 1.0, 2x weight) reflects recovery from COVID-era lows. Forward P/E of 49.25x (score 0.27) remains elevated though dramatically improved from prior periods as forward EPS estimates rose to $3.79. The PEG ratio of 1.36 (score 0.82, 2x weight) is favorable, reflecting the market's expectation of strong earnings recovery. Profit margin of 2.59% (score 0.13) is barely profitable. Q2 2026 generated positive FCF of $631M and full-year guidance is $1-3B [1]. Daily dollar volume of $1.26B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Boeing's 100+ year history building aircraft that connect the world suggests infinite game DNA, but the last decade has been a case study in finite thinking — prioritizing share buybacks over engineering investment, quarterly EPS over product safety, and executive compensation over workforce trust. CEO Ortberg's back-to-basics turnaround is an attempt to restore infinite game principles, acknowledging the culture is 'very insular' and warning change would be 'brutal to leadership,' but the cultural damage from the McDonnell Douglas merger mentality remains deep.</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Boeing's purpose — connecting, protecting, exploring, and inspiring the world through aerospace innovation — qualifies as a genuine Just Cause that has been partially lived for over a century [4]. The company's role in democratizing air travel, enabling space exploration (Apollo, ISS), and national defense is historically validated. However, the cause has been severely undermined by the 2018-2024 period of safety failures, financial engineering, and cultural decay. The Just Cause exists and is real but is being rebuilt rather than actively driving strategy [6][7].</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Boeing's trust environment is deeply damaged — whistleblower retaliation against Ed Pierson and Sam Salehpour, the 2024 IAM machinists' strike over working conditions and compensation, five CEOs in 20 years creating leadership instability, and FAA findings of non-compliance in manufacturing quality control [6][7]. CEO Ortberg acknowledged Boeing's culture is 'very insular' with teams that 'don't work with each other as well as we could,' and warned the culture shift would be 'brutal to leadership' [5]. Dueling DEI shareholder proposals at the 2025 annual meeting further illustrate organizational division [8].</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Under Ortberg, Boeing's competitive language has shifted from defeating Airbus to fixing itself — the CEO's focus on internal quality, engineering-first culture, and operational discipline implicitly acknowledges that Airbus's strengths (execution consistency, production discipline, delivery reliability) reveal Boeing's weaknesses [5]. The company is using Airbus as a benchmark for self-improvement rather than a target to destroy, reflecting an emerging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Boeing has shown remarkable rigidity — clinging to the 60-year-old 737 platform through successive derivative variants rather than investing in a clean-sheet narrow-body aircraft, even as the 737 MAX crisis demonstrated the limits of incremental iteration. The company has not made a transformative strategic pivot in decades; the 787 Dreamliner (launched 2004) was the last genuinely new aircraft platform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Ortberg's willingness to declare Boeing's culture 'insular' and warn that change would be 'brutal to leadership' shows nascent courage [5]. The decision to absorb a $280M VC-25B charge rather than paper over cost overruns signals honesty about program realities [1]. FCF guidance of $1-3B for FY2026 represents honest framing of the recovery timeline. However, Boeing spent 2014-2024 doing the opposite — optimizing for quarterly EPS through $43B in share buybacks, cost-cutting engineering resources, and opposing safety improvements. One-to-two years of honesty does not erase a decade of cowardice.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Boeing is in the early innings of a multi-year turnaround under CEO Ortberg, with H1 2026 delivering ~$47B in revenue (+11% YoY), Q2 producing 171 commercial aircraft deliveries (highest since 2018), and generating positive free cash flow with full-year FCF guidance of $1-3B [1][2]. The record $715B backlog across 6,200+ commercial aircraft orders provides unprecedented revenue visibility, the FAA has authorized Boeing to resume issuing airworthiness certificates for all 737 MAX and 787 variants, and the 737-7 and 737-10 certifications are imminent with first deliveries expected in 2027 [1]. Boeing remains one of only two companies on Earth capable of building commercial aircraft at scale — a duopoly moat that no competitor can realistically breach. At $189.50 with forward EPS of $3.79 and a PEG of 1.36, the market is pricing in a gradual recovery trajectory that has room for upside if production ramps exceed expectations.</w:t>
      </w:r>
    </w:p>
    <w:p>
      <w:pPr>
        <w:spacing w:after="120"/>
      </w:pPr>
      <w:r>
        <w:rPr>
          <w:rFonts w:ascii="Calibri" w:hAnsi="Calibri"/>
          <w:b w:val="0"/>
          <w:color w:val="3A4A28"/>
          <w:sz w:val="20"/>
        </w:rPr>
        <w:t>The bear case is formidable: $48.4B in total debt with D/E of 791% creates existential financial risk if the recovery stalls, and the forward P/E of 49x reflects how far Boeing remains from normalized earnings [8]. The Q2 core loss of $0.76/share was worse than the $0.34 consensus estimate, driven by a $280M VC-25B charge that illustrates how defense fixed-price contracts continue to hemorrhage cash [1]. Boeing's safety culture remains under FAA scrutiny, whistleblower allegations are unresolved, and the 2025 annual meeting featured dueling DEI shareholder proposals highlighting organizational division [6][7][8]. Net profit margin of 2.59% on $94B TTM revenue reveals a company barely profitable despite massive scale, and the Q2 net loss of $428M shows quarterly profitability remains inconsistent. With Airbus consistently outexecuting on deliveries and orders, Boeing risks becoming the permanent #2 in a duopoly where scale matters. The dividend remains suspended indefinitely, providing no income to shareholders during the lengthy recovery.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737-7 and 737-10 certifications expected imminently, unlocking two new delivery streams with combined backlog of 1,000+ aircraft and first deliveries in 2027, directly expanding the revenue and margin base [1]</w:t>
      </w:r>
    </w:p>
    <w:p>
      <w:pPr>
        <w:spacing w:before="40" w:after="40"/>
        <w:ind w:left="283"/>
      </w:pPr>
      <w:r>
        <w:rPr>
          <w:rFonts w:ascii="Calibri" w:hAnsi="Calibri"/>
          <w:b/>
          <w:color w:val="4A6B25"/>
          <w:sz w:val="20"/>
        </w:rPr>
        <w:t xml:space="preserve">2. </w:t>
      </w:r>
      <w:r>
        <w:rPr>
          <w:rFonts w:ascii="Calibri" w:hAnsi="Calibri"/>
          <w:b w:val="0"/>
          <w:color w:val="3A4A28"/>
          <w:sz w:val="20"/>
        </w:rPr>
        <w:t>Production rate increases toward 38/month on the 737 MAX line would dramatically improve per-unit fixed cost absorption and drive margin recovery toward historical 10-15% operating margins, transforming free cash flow generation [1]</w:t>
      </w:r>
    </w:p>
    <w:p>
      <w:pPr>
        <w:spacing w:before="40" w:after="40"/>
        <w:ind w:left="283"/>
      </w:pPr>
      <w:r>
        <w:rPr>
          <w:rFonts w:ascii="Calibri" w:hAnsi="Calibri"/>
          <w:b/>
          <w:color w:val="4A6B25"/>
          <w:sz w:val="20"/>
        </w:rPr>
        <w:t xml:space="preserve">3. </w:t>
      </w:r>
      <w:r>
        <w:rPr>
          <w:rFonts w:ascii="Calibri" w:hAnsi="Calibri"/>
          <w:b w:val="0"/>
          <w:color w:val="3A4A28"/>
          <w:sz w:val="20"/>
        </w:rPr>
        <w:t>Record $715B backlog provides 7+ years of revenue visibility across 6,200+ commercial aircraft orders, supporting the case for sustainable free cash flow generation to deleverage the $48.4B debt load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Total debt of $48.4B with D/E of 791% and near-zero profitability creates existential balance sheet risk — any production disruption, labor action, or demand slowdown could trigger a credit downgrade or dilutive capital raise [8]</w:t>
      </w:r>
    </w:p>
    <w:p>
      <w:pPr>
        <w:spacing w:before="40" w:after="40"/>
        <w:ind w:left="283"/>
      </w:pPr>
      <w:r>
        <w:rPr>
          <w:rFonts w:ascii="Calibri" w:hAnsi="Calibri"/>
          <w:b/>
          <w:color w:val="4A6B25"/>
          <w:sz w:val="20"/>
        </w:rPr>
        <w:t xml:space="preserve">2. </w:t>
      </w:r>
      <w:r>
        <w:rPr>
          <w:rFonts w:ascii="Calibri" w:hAnsi="Calibri"/>
          <w:b w:val="0"/>
          <w:color w:val="3A4A28"/>
          <w:sz w:val="20"/>
        </w:rPr>
        <w:t>Ongoing FAA quality scrutiny, unresolved whistleblower allegations, and potential for additional safety-related production slowdowns could derail the delivery ramp timeline [6][7]</w:t>
      </w:r>
    </w:p>
    <w:p>
      <w:pPr>
        <w:spacing w:before="40" w:after="40"/>
        <w:ind w:left="283"/>
      </w:pPr>
      <w:r>
        <w:rPr>
          <w:rFonts w:ascii="Calibri" w:hAnsi="Calibri"/>
          <w:b/>
          <w:color w:val="4A6B25"/>
          <w:sz w:val="20"/>
        </w:rPr>
        <w:t xml:space="preserve">3. </w:t>
      </w:r>
      <w:r>
        <w:rPr>
          <w:rFonts w:ascii="Calibri" w:hAnsi="Calibri"/>
          <w:b w:val="0"/>
          <w:color w:val="3A4A28"/>
          <w:sz w:val="20"/>
        </w:rPr>
        <w:t>Defense fixed-price contract losses continue to accumulate — the $280M VC-25B charge in Q2 2026 follows billions in prior charges on programs including the KC-46 tanker and T-7A trainer, with no visibility on when these programs reach breakeven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Aircraft manufacturing is structurally immune to AI disruption — designing, certifying, building, and maintaining commercial and military aircraft requires massive physical infrastructure, thousands of highly skilled workers, decades of regulatory relationships, and FAA/DOD certification processes that AI cannot replicate or bypass [1]. The duopoly moat with Airbus is unbreachable by AI — no software company can build a 737 competitor. AI actually increases demand for Boeing's products through military autonomous systems (MQ-25 Stingray, Loyal Wingman) and satellite communications platforms that require physical aircraft carriers and launchers. AI Opportunity (1/1): Boeing's defense segment generates quantifiable revenue from autonomous and AI-enabled military systems including the MQ-25 autonomous refueling drone program for the U.S. Navy and Loyal Wingman autonomous combat aircraft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Boeing Q2 FY2026 Earnings — $24.6B Revenue (+8% YoY), 171 Deliveries, Net Loss $428M, Core Loss -$0.76/share, $280M VC-25B Charge, FCF $631M — Manufacturing Dive, Quartr, TravelRadar, July-August 2026</w:t>
      </w:r>
    </w:p>
    <w:p>
      <w:pPr>
        <w:spacing w:before="20" w:after="20"/>
        <w:ind w:left="170"/>
      </w:pPr>
      <w:r>
        <w:rPr>
          <w:rFonts w:ascii="Calibri" w:hAnsi="Calibri"/>
          <w:b/>
          <w:color w:val="4A6B25"/>
          <w:sz w:val="15"/>
        </w:rPr>
        <w:t xml:space="preserve">2. </w:t>
      </w:r>
      <w:r>
        <w:rPr>
          <w:rFonts w:ascii="Calibri" w:hAnsi="Calibri"/>
          <w:b w:val="0"/>
          <w:color w:val="3A4A28"/>
          <w:sz w:val="17"/>
        </w:rPr>
        <w:t>Boeing Q1 FY2026 Earnings — $22.2B Revenue (+14% YoY), All Three Segments Growing, Core Loss Narrowed to -$0.20/share — TIKR, OpenCapital, April 2026</w:t>
      </w:r>
    </w:p>
    <w:p>
      <w:pPr>
        <w:spacing w:before="20" w:after="20"/>
        <w:ind w:left="170"/>
      </w:pPr>
      <w:r>
        <w:rPr>
          <w:rFonts w:ascii="Calibri" w:hAnsi="Calibri"/>
          <w:b/>
          <w:color w:val="4A6B25"/>
          <w:sz w:val="15"/>
        </w:rPr>
        <w:t xml:space="preserve">3. </w:t>
      </w:r>
      <w:r>
        <w:rPr>
          <w:rFonts w:ascii="Calibri" w:hAnsi="Calibri"/>
          <w:b w:val="0"/>
          <w:color w:val="3A4A28"/>
          <w:sz w:val="17"/>
        </w:rPr>
        <w:t>Boeing Full-Year 2026 Outlook — FCF Guidance $1-3B, Record $715B Backlog, 6,200+ Aircraft Orders — Beinsure, TIKR Margin Analysis, 2026</w:t>
      </w:r>
    </w:p>
    <w:p>
      <w:pPr>
        <w:spacing w:before="20" w:after="20"/>
        <w:ind w:left="170"/>
      </w:pPr>
      <w:r>
        <w:rPr>
          <w:rFonts w:ascii="Calibri" w:hAnsi="Calibri"/>
          <w:b/>
          <w:color w:val="4A6B25"/>
          <w:sz w:val="15"/>
        </w:rPr>
        <w:t xml:space="preserve">4. </w:t>
      </w:r>
      <w:r>
        <w:rPr>
          <w:rFonts w:ascii="Calibri" w:hAnsi="Calibri"/>
          <w:b w:val="0"/>
          <w:color w:val="3A4A28"/>
          <w:sz w:val="17"/>
        </w:rPr>
        <w:t>Boeing Corporate Mission — 'Connect, Protect, Explore and Inspire the World Through Aerospace Innovation' — boeing.com,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Fortune — Kelly Ortberg Turnaround Plan, Culture Overhaul, 'Insular' Culture Acknowledgment — October 2024, June 2026</w:t>
      </w:r>
    </w:p>
    <w:p>
      <w:pPr>
        <w:spacing w:before="20" w:after="20"/>
        <w:ind w:left="170"/>
      </w:pPr>
      <w:r>
        <w:rPr>
          <w:rFonts w:ascii="Calibri" w:hAnsi="Calibri"/>
          <w:b/>
          <w:color w:val="4A6B25"/>
          <w:sz w:val="15"/>
        </w:rPr>
        <w:t xml:space="preserve">6. </w:t>
      </w:r>
      <w:r>
        <w:rPr>
          <w:rFonts w:ascii="Calibri" w:hAnsi="Calibri"/>
          <w:b w:val="0"/>
          <w:color w:val="3A4A28"/>
          <w:sz w:val="17"/>
        </w:rPr>
        <w:t>The CPA Journal — Boeing's Failed Corporate Culture, Whistleblower Retaliation Allegations — August 2025</w:t>
      </w:r>
    </w:p>
    <w:p>
      <w:pPr>
        <w:spacing w:before="20" w:after="20"/>
        <w:ind w:left="170"/>
      </w:pPr>
      <w:r>
        <w:rPr>
          <w:rFonts w:ascii="Calibri" w:hAnsi="Calibri"/>
          <w:b/>
          <w:color w:val="4A6B25"/>
          <w:sz w:val="15"/>
        </w:rPr>
        <w:t xml:space="preserve">7. </w:t>
      </w:r>
      <w:r>
        <w:rPr>
          <w:rFonts w:ascii="Calibri" w:hAnsi="Calibri"/>
          <w:b w:val="0"/>
          <w:color w:val="3A4A28"/>
          <w:sz w:val="17"/>
        </w:rPr>
        <w:t>U.S. DOT FAA — Boeing Safety Culture Oversight, Manufacturing Quality Non-Compliance Findings — accessed October 2026</w:t>
      </w:r>
    </w:p>
    <w:p>
      <w:pPr>
        <w:spacing w:before="20" w:after="20"/>
        <w:ind w:left="170"/>
      </w:pPr>
      <w:r>
        <w:rPr>
          <w:rFonts w:ascii="Calibri" w:hAnsi="Calibri"/>
          <w:b/>
          <w:color w:val="4A6B25"/>
          <w:sz w:val="15"/>
        </w:rPr>
        <w:t xml:space="preserve">8. </w:t>
      </w:r>
      <w:r>
        <w:rPr>
          <w:rFonts w:ascii="Calibri" w:hAnsi="Calibri"/>
          <w:b w:val="0"/>
          <w:color w:val="3A4A28"/>
          <w:sz w:val="17"/>
        </w:rPr>
        <w:t>Glass Lewis / Harvard Law Forum — Dueling DEI Shareholder Proposals, $3.1M FAA Safety Fine, D/E 791% — April-May 2025, StockAnalysis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