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BBD</w:t>
      </w:r>
      <w:r>
        <w:rPr>
          <w:rFonts w:ascii="Calibri" w:hAnsi="Calibri"/>
          <w:b/>
          <w:color w:val="1A2010"/>
          <w:sz w:val="40"/>
        </w:rPr>
        <w:t xml:space="preserve">  Banco Bradesco S.A.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Regional · NYSE · Brazil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Bradesco is a Brazilian bank with banking and insurance segments covering retail, corporate, private banking, asset management, cards, consortia and life, health, pension and non-life insurance. Q2 2026 total revenue was R$37.6B (+10.3% YoY) and recurring net income R$7.1B (+16.2%), with ROAE of 16.2% [1].</w:t>
      </w:r>
    </w:p>
    <w:p>
      <w:r>
        <w:rPr>
          <w:rFonts w:ascii="Calibri" w:hAnsi="Calibri"/>
          <w:b/>
          <w:color w:val="6E8450"/>
          <w:sz w:val="18"/>
        </w:rPr>
        <w:t>68,814 Employees · https://banco.bradesco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digital banking expansion and Gen AI use are incremental, with no new revenue stream cited [2]. AI Deployment (1/2): early adopter exploring IBM watsonx.ai foundation models, with productivity gains claimed but unquantified [2]. Market Share (1/2): one of Brazil's largest private banks, but not gaining share against fintechs. Pipeline (0/2): no named products or dates found. R&amp;D Intensity (0/1): no R&amp;D data available.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'Who are we' materials stress inclusion and sustainable value, clear but similar to large-bank peers [2]. Community Impact (2/2): Fundação Bradesco has funded free education for decades, and 20 consecutive years in Dow Jones Best-in-Class and 21 in ISE B3 reflect social programs [3]. Employee Retention (0/2): New York office Glassdoor shows 2.4 culture and 1.8 senior management ratings (small sample); no tenure data [2]. Insider Buying (0/2): no evidence of net insider buying.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as a Dividend stock; D/E is not reported and excluded. ROE of 13.8% (0.92), revenue growth of 7.2% YoY (0.91), forward P/E of 6.7 (1.0) and profit margin of 26.1% (1.0) are strong [1]. Payout of 73.3% scores 0.45. 5-year revenue CAGR is unavailable and excluded. Dividend payments are long-running (1.0, 2x), but ADR dividends have not risen consecutively (about 1 year, 0.1) and the 5-year dividend CAGR is about 3.8% in USD (0.63, 2x). Weighted score is about 7.6 of 10. Daily dollar volume is about $109M.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Bradesco is a durable institution that has recently restored profit momentum with ten straight quarters of growth, but its public purpose and strategy emphasize returns, efficiency and digital catch-up rather than a distinctive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inclusion and sustainability language is credible given the Fundação Bradesco history, but it is not tied to a bold future state shaping strategy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stable large organization with no major scandals, though limited Glassdoor data shows weak senior-management ratings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learning-from-rivals framing; fintech competition is treated as a threat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migrating from a branch-centric model to digital and Gen AI is incremental.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CEO transition to Marcelo Noronha and restructuring toward digital and efficiency after weaker years is a costly reset, though not clearly sacrificial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Bradesco at $3.65 trades at 6.7x forward earnings with a 4.5% yield. Recurring net income reached R$7.1B in Q2 2026 (+16.2% YoY), a tenth consecutive quarter of growth, with ROAE of 16.2% (+160bps YoY) and revenue of R$37.6B (+10.3%) as loan growth accelerates [1]. Industry-leading ESG recognition (Dow Jones Best-in-Class for 20 years, CDP A-list) and an AI-driven digital push support a continued recovery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emerging-market and policy risk: Brazil's high rates, currency volatility and credit quality can swing earnings, and the 73% payout leaves limited cushion. The ADR dividend has not grown consistently in USD (2024 $0.148 versus 2023 $0.339), and the PEG of 1.7 shows growth is not cheap. Fintech and digital disruption, cost pressures and cyber risks threaten the franchise [2], and Glassdoor ratings are weak (1.8 senior management)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earnings recovery: ten straight quarters of net income growth and ROAE rising to 16.2%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Accelerating loan growth and revenue (+10.3% YoY to R$37.6B) as Brazil's rate cycle eases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Digital banking and Gen AI productivity gains, including the IBM watsonx.ai program, lowering cost-to-income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Brazil macro: currency weakness, high rates and credit defaults can erode the R$7.1B quarterly profit and USD-denominated ADR returns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73% payout and inconsistent USD dividend growth limit income reliability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Digital disruption from fintechs and rising cyber and regulatory risk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a regulated universal bank with insurance and a large branch and customer base is defensible, but Brazil's digital disruption, Pix and fintech rivals and cost pressures are cited as threats to growth and profitability [2]. Gen AI is positioned as a productivity enabler rather than a threat. AI Opportunity (0/1): no AI revenue is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Bradesco Q1 and Q2 2026 Results — Investing.com, StockTitan, Yahoo Finance, April-August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Bradesco leadership, culture and AI strategy — Bradesco RI, Glassdoor, IBM, Simply Wall St,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Bradesco ESG recognition — Bradesco RI Sustainability, TipRanks,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BBD key statistics and dividend history,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