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BBVA</w:t>
      </w:r>
      <w:r>
        <w:rPr>
          <w:rFonts w:ascii="Calibri" w:hAnsi="Calibri"/>
          <w:b/>
          <w:color w:val="1A2010"/>
          <w:sz w:val="40"/>
        </w:rPr>
        <w:t xml:space="preserve">  Banco Bilbao Vizcaya Argentaria, S.A.</w:t>
      </w:r>
    </w:p>
    <w:p>
      <w:pPr>
        <w:spacing w:after="120"/>
      </w:pPr>
      <w:r>
        <w:rPr>
          <w:rFonts w:ascii="Calibri" w:hAnsi="Calibri"/>
          <w:b/>
          <w:color w:val="6E8450"/>
          <w:sz w:val="18"/>
        </w:rPr>
        <w:t>DIVIDEND SLEEVE · 2026-09-10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Spain</w:t>
      </w:r>
    </w:p>
    <w:p>
      <w:pPr>
        <w:spacing w:after="80"/>
      </w:pPr>
      <w:r>
        <w:rPr>
          <w:rFonts w:ascii="Calibri" w:hAnsi="Calibri"/>
          <w:b w:val="0"/>
          <w:color w:val="3A4A28"/>
          <w:sz w:val="20"/>
        </w:rPr>
        <w:t>Banco Bilbao Vizcaya Argentaria (BBVA) is one of Europe's largest financial institutions, operating in over 25 countries with major franchises in Spain, Mexico, Turkey, and South America. The bank reported record Q2 2026 net attributable profit of EUR 3.062B (+11.4% YoY) with return on tangible equity of 22.2% — significantly above European banking peers. H1 2026 net profit reached EUR 6.05B (+11.1% YoY), with core revenues of EUR 9.79B (+19.1%) in Q1 and customer loans growing 17%. BBVA raised full-year 2026 ROTE guidance to approximately 21%. The bank is a global leader in AI deployment in banking with 1,500+ identified AI use cases, an internal GPT Store with 1,000+ employee-built bots, and a dedicated 'AI Transformation' division.</w:t>
      </w:r>
    </w:p>
    <w:p>
      <w:r>
        <w:rPr>
          <w:rFonts w:ascii="Calibri" w:hAnsi="Calibri"/>
          <w:b/>
          <w:color w:val="6E8450"/>
          <w:sz w:val="18"/>
        </w:rPr>
        <w:t>116,000 Employees · https://www.bbva.com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BBVA has executed one of the most significant digital transformations in global banking over the past 5 years, moving from a traditional European bank to one of the most digitally advanced financial institutions in the world [1][2]. Customer loans grew 17% in Q1 2026, core revenues rose 19.1% YoY, and the bank delivered record profitability with ROTE of 22.2% in H1 2026 [1]. The Garanti BBVA digital banking platform in Turkey was a pioneering effort, and BBVA's mobile banking apps have won multiple industry awards. AI Deployment (2/2): BBVA has deployed AI at scale with a roadmap known as 'The Eight' aimed at transforming customer interactions, risk management, process automation, and technological capabilities [2]. The bank created an internal GPT Store with over 1,000 task-specific bots developed by employees, formally identified over 1,500 AI use cases, and partnered with OpenAI for enterprise AI deployment. CEO Onur Genc and 250 leaders received specific AI training [2]. Market Share (1/2): BBVA is the #2 bank in Spain and a market leader in Mexico's commercial banking sector, with strong positions in Turkey (Garanti BBVA) and South America [1]. However, it is not the #1 global bank in any single category and faces strong competition from Santander, CaixaBank, and other European peers. Pipeline (1/2): The AI Transformation division and 'The Eight' roadmap provide strategic direction, with full-year 2026 ROTE guidance raised to 21% and improved expectations for Mexico and South America [1]. However, specific next-generation banking products with named launch dates beyond AI deployment were not identified. R&amp;D Intensity (1/1): BBVA's technology spending is among the highest in European banking, with dedicated AI divisions and a Global Head of AI driving enterprise-wide adoption — above peer average for technology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BBVA's purpose is 'to bring the age of opportunity to everyone' — a specific, inclusive, and thoughtful statement that connects financial services to social mobility and economic empowerment [2]. This purpose differentiates BBVA from generic bank mission statements and has been consistently referenced in strategic communications and sustainability reports. The focus on financial inclusion across emerging markets (Mexico, Turkey, South America) demonstrates the purpose in action. Community Impact (1/2): BBVA has made sustainability one of its six strategic priorities, with Garanti BBVA achieving an 'A' rating across all three CDP categories (climate change, water security, forests) [3]. The bank was distinguished as the company with greatest ESG responsibility in Mexico's financial sector. However, specific dollar amounts for community investment or charitable programs were not identified in the search results. Employee Retention (1/2): BBVA invested in AI training for 250 leaders including the CEO and chairman, suggesting investment in human capital development [2]. The bank employs 116,000 people globally with operations spanning decades in its core markets, but no specific retention rates or average tenure data were available. Insider Buying (0/2): No evidence of meaningful net insider buying by CEO Onur Genc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including dividend adds. The primary drag is D/E of approximately 308%, which exceeds the 300% floor and scores 0.0 — though this metric is inherently problematic for banks, where leverage is a core business model feature rather than a risk indicator [4]. All other metrics score strongly: ROE of 19.04% exceeds the 15% target (score 1.0), revenue growth YoY of 19.1% exceeds the 10% target (score 1.0), Forward P/E of 9.01 is deeply discounted versus the 20 target (score 1.0), and profit margin of 31.9% exceeds the 20% target (score 1.0) [1][4]. Dividend metrics are mixed: payout ratio of approximately 29% is well below the 40% target (score 1.0), 5-year dividend growth CAGR of approximately 25% far exceeds the 6% target (score 1.0, 2x weight), but consecutive years paid is approximately 5 (post-COVID ECB-mandated suspension in 2020, score 0.5, 2x weight) and consecutive years growth is approximately 4 (score 0.4) [4]. The 5-year revenue CAGR of approximately 8% is below the 10% target (score 0.87). Liquidity clears the floor easily at $29.51 x ~3.0M avg daily ADR volume = ~$88.5M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BBVA demonstrates meaningful infinite game characteristics through its consistent purpose ('bring the age of opportunity to everyone'), patient digital transformation investment spanning a decade, and willingness to operate in challenging emerging markets (Mexico, Turkey, South America) where short-term volatility is accepted for long-term growth potential [1][2]. The AI Transformation initiative — training 250 leaders and deploying 1,500+ use cases — reflects institutional commitment to long-term capability building rather than quarterly optimization. However, the bank operates within the inherent constraints of quarterly earnings-driven European banking, and the competitive language occasionally reverts to market share and returns metrics characteristic of 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BBVA's stated purpose — 'to bring the age of opportunity to everyone' — is genuine, inclusive, and service-oriented, connecting financial services to social mobility and economic empowerment [2]. This purpose is partially validated by strategic decisions: maintaining operations in challenging emerging markets (Turkey, Argentina, Colombia) where financial inclusion has real social impact, rather than retreating to safer developed-market banking. The sustainability commitment as one of six strategic priorities and Garanti BBVA's triple-A CDP rating demonstrate purpose beyond profit [3]. However, the cause has not yet been tested through a major crisis requiring costly sacrifice, and the 2020 ECB-mandated dividend suspension (while imposed externally) did not generate a company-led purpose response.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BBVA's AI training program for 250 leaders including CEO and chairman suggests top-down commitment to organizational learning and empowerment [2]. The internal GPT Store with 1,000+ employee-built bots indicates a culture where employees are trusted to develop and deploy AI tools autonomously, a meaningful signal of organizational trust. The bank's 116,000 employees operate across 25+ countries with stable leadership under CEO Onur Genc. However, European banking culture generally emphasizes hierarchy, and no specific evidence of exceptional psychological safety, flat organizational structures, or employee empowerment beyond AI initiatives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BBVA demonstrates competitive awareness focused on improvement rather than destruction. The partnership with OpenAI and engagement with tech-sector best practices shows willingness to learn from companies outside traditional banking [2]. CEO Genc's framing of AI as requiring organizational transformation — not just technology deployment — suggests the bank uses competitive pressure from fintech challengers to improve its own capabilities rather than viewing them as threats to eliminate. The explicit acknowledgment that 'AI will drive a transformation greater, faster, and more disruptive than digitalization' reflects healthy competitive self-awareness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BBVA has evolved significantly from a traditional Spanish bank to one of the most digitally advanced global financial institutions, with the AI Transformation division representing a meaningful strategic evolution [2]. The bank's expansion into emerging markets (Mexico becoming its largest profit contributor), digital banking leadership, and AI deployment represent incremental but meaningful pivots. However, BBVA has not undertaken a truly transformative pivot — abandoning a core business or entering an entirely new industry — that would earn full marks in Sinek's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BBVA's commitment to operating in Turkey and Argentina — jurisdictions many global banks have exited due to currency volatility and political risk — demonstrates willingness to accept short-term pain for long-term market position [1]. The investment in AI transformation at a scale ahead of most European banking peers (1,500+ use cases, dedicated AI division, CEO training) represents a long-term bet on organizational capability over quarterly earnings optimization. The raised ROTE guidance to 21% while simultaneously investing in AI infrastructure shows confidence in balancing growth and efficiency [1]. However, the bank's strategy is fundamentally aligned with current shareholder value trends (AI efficiency, emerging market growth) rather than requiring costly counter-consensus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BBVA trades at 9.01x forward earnings with ROTE of 22.2% — one of the highest returns in European banking — delivering double-digit growth across H1 2026 revenue (+19.1%) and net profit (+11.1% to EUR 6.05B) with full-year ROTE guidance raised to approximately 21% [1]. The bank is a global leader in AI deployment in banking, with 1,500+ AI use cases, an internal GPT Store of 1,000+ employee-built bots, and a dedicated AI Transformation division — these capabilities drive efficiency gains that support the industry-leading profitability [2]. Customer loans grew 17% in Q1 2026, demonstrating organic growth rather than financial engineering. The dividend yield of 2.38% with a conservative 29% payout ratio and approximately 25% 5-year dividend growth CAGR provides income investors with a rare combination of current yield and rapid dividend growth [4]. The balance sheet is well-capitalized for a global SIFI bank, and the Forward P/E of 9.01x represents a significant discount to the 20x target used in the infrastructure framework.</w:t>
      </w:r>
    </w:p>
    <w:p>
      <w:pPr>
        <w:spacing w:after="120"/>
      </w:pPr>
      <w:r>
        <w:rPr>
          <w:rFonts w:ascii="Calibri" w:hAnsi="Calibri"/>
          <w:b w:val="0"/>
          <w:color w:val="3A4A28"/>
          <w:sz w:val="20"/>
        </w:rPr>
        <w:t>The bear case centers on bank-specific leverage, emerging market exposure, and European banking structural challenges. D/E of approximately 308% exceeds the infrastructure scoring floor — while this is normal for banking, it reflects the sector's inherent fragility during financial crises [4]. Turkey and Argentina exposure creates currency and political risk that could impair earnings; the Turkish lira has historically generated significant translation losses. The consecutive years of dividend payment is only 5 (post-COVID ECB suspension in 2020), and European regulators could again mandate dividend restrictions during the next economic downturn. Revenue growth 5-year CAGR of approximately 8% is below the 10% target, reflecting the pre-2024 period when European bank revenues were suppressed by negative interest rates [1][4]. The Inspire Impact Score of 0 (MIXED) with no positive or negative attributions may limit appeal for faith-based investors seeking clearly aligned companies. Competition from digital-only banks (Revolut, N26) and fintech platforms remains a medium-term structural challenge, though BBVA's scale and regulatory moat provide substantial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ROTE guidance raised to approximately 21% with improved expectations for Mexico and South America, driven by 19.1% core revenue growth and 17% customer loan growth — suggesting sustained earnings momentum through H2 2026 [1]</w:t>
      </w:r>
    </w:p>
    <w:p>
      <w:pPr>
        <w:spacing w:before="40" w:after="40"/>
        <w:ind w:left="283"/>
      </w:pPr>
      <w:r>
        <w:rPr>
          <w:rFonts w:ascii="Calibri" w:hAnsi="Calibri"/>
          <w:b/>
          <w:color w:val="4A6B25"/>
          <w:sz w:val="20"/>
        </w:rPr>
        <w:t xml:space="preserve">2. </w:t>
      </w:r>
      <w:r>
        <w:rPr>
          <w:rFonts w:ascii="Calibri" w:hAnsi="Calibri"/>
          <w:b w:val="0"/>
          <w:color w:val="3A4A28"/>
          <w:sz w:val="20"/>
        </w:rPr>
        <w:t>AI Transformation at scale with 1,500+ use cases and 1,000+ employee-built GPT bots driving operational efficiency gains that support industry-leading ROTE of 22.2% — competitive differentiation that should compound as AI adoption deepens [2]</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with approximately 25% 5-year CAGR on a conservative 29% payout ratio, providing substantial room for continued dividend increases as earnings grow double-digits, supported by EUR 2B+ annual share buyback capacity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European banking regulatory risk — the ECB mandated dividend suspensions in 2020 and could do so again during a financial crisis, resetting the consecutive-years-paid clock and removing income for dividend investors [4]</w:t>
      </w:r>
    </w:p>
    <w:p>
      <w:pPr>
        <w:spacing w:before="40" w:after="40"/>
        <w:ind w:left="283"/>
      </w:pPr>
      <w:r>
        <w:rPr>
          <w:rFonts w:ascii="Calibri" w:hAnsi="Calibri"/>
          <w:b/>
          <w:color w:val="4A6B25"/>
          <w:sz w:val="20"/>
        </w:rPr>
        <w:t xml:space="preserve">2. </w:t>
      </w:r>
      <w:r>
        <w:rPr>
          <w:rFonts w:ascii="Calibri" w:hAnsi="Calibri"/>
          <w:b w:val="0"/>
          <w:color w:val="3A4A28"/>
          <w:sz w:val="20"/>
        </w:rPr>
        <w:t>Turkey and Argentina exposure creates currency translation risk (Turkish lira, Argentine peso) and political risk that could impair reported earnings and book value, even as underlying business performance remains strong [1]</w:t>
      </w:r>
    </w:p>
    <w:p>
      <w:pPr>
        <w:spacing w:before="40" w:after="40"/>
        <w:ind w:left="283"/>
      </w:pPr>
      <w:r>
        <w:rPr>
          <w:rFonts w:ascii="Calibri" w:hAnsi="Calibri"/>
          <w:b/>
          <w:color w:val="4A6B25"/>
          <w:sz w:val="20"/>
        </w:rPr>
        <w:t xml:space="preserve">3. </w:t>
      </w:r>
      <w:r>
        <w:rPr>
          <w:rFonts w:ascii="Calibri" w:hAnsi="Calibri"/>
          <w:b w:val="0"/>
          <w:color w:val="3A4A28"/>
          <w:sz w:val="20"/>
        </w:rPr>
        <w:t>D/E of approximately 308% reflects inherent banking leverage — while normal for the sector, it means BBVA is structurally vulnerable to credit cycle deterioration, particularly in emerging markets with weaker institutional protections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BBVA's core banking business is protected by substantial structural moats against AI disruption — regulatory requirements (banking licenses, capital adequacy, anti-money laundering), switching costs (mortgages, payroll, credit relationships), and physical infrastructure (branch networks in emerging markets) create barriers that AI-native competitors cannot easily overcome [2]. The bank's Global Head of Finance acknowledges that 'AI will drive a transformation greater, faster, and more disruptive than digitalization,' but management frames this as an internal efficiency opportunity rather than an existential threat [2]. Fintech competition exists but has not meaningfully eroded BBVA's market positions in Spain or Mexico, where regulatory barriers to entry remain high. The primary AI risk is to traditional middle-office and back-office functions (compliance, credit underwriting, customer service) where BBVA is proactively deploying AI to capture those efficiencies internally rather than ceding them to challengers. AI Opportunity (1/1): BBVA generates meaningful value from AI deployment — 1,500+ identified use cases, 1,000+ employee-built GPT bots in the internal store, and the 'The Eight' AI roadmap transforming customer interactions, risk management, and process automation across all business segments [2]. While specific AI revenue is not separately reported, AI-driven efficiency gains and improved customer engagement contribute measurably to the record ROTE of 22.2%.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BBVA Q1 and Q2 2026 Earnings — Q1 profit EUR 2.99B (+10.8%), Q2 record profit EUR 3.062B (+11.4%), H1 net profit EUR 6.05B (+11.1%), ROTE 22.2%, core revenues EUR 9.79B (+19.1%), customer loans +17%, ROTE guidance raised to ~21%, bbva.com, January-July 2026</w:t>
      </w:r>
    </w:p>
    <w:p>
      <w:pPr>
        <w:spacing w:before="20" w:after="20"/>
        <w:ind w:left="170"/>
      </w:pPr>
      <w:r>
        <w:rPr>
          <w:rFonts w:ascii="Calibri" w:hAnsi="Calibri"/>
          <w:b/>
          <w:color w:val="4A6B25"/>
          <w:sz w:val="15"/>
        </w:rPr>
        <w:t xml:space="preserve">2. </w:t>
      </w:r>
      <w:r>
        <w:rPr>
          <w:rFonts w:ascii="Calibri" w:hAnsi="Calibri"/>
          <w:b w:val="0"/>
          <w:color w:val="3A4A28"/>
          <w:sz w:val="17"/>
        </w:rPr>
        <w:t>BBVA AI Strategy — 'The Eight' AI roadmap, 1,500+ AI use cases, 1,000+ GPT bots in internal store, OpenAI partnership, 250 leaders trained, dedicated AI Transformation division, CEO Onur Genc leadership, bbva.com/innovation, 2025-2026</w:t>
      </w:r>
    </w:p>
    <w:p>
      <w:pPr>
        <w:spacing w:before="20" w:after="20"/>
        <w:ind w:left="170"/>
      </w:pPr>
      <w:r>
        <w:rPr>
          <w:rFonts w:ascii="Calibri" w:hAnsi="Calibri"/>
          <w:b/>
          <w:color w:val="4A6B25"/>
          <w:sz w:val="15"/>
        </w:rPr>
        <w:t xml:space="preserve">3. </w:t>
      </w:r>
      <w:r>
        <w:rPr>
          <w:rFonts w:ascii="Calibri" w:hAnsi="Calibri"/>
          <w:b w:val="0"/>
          <w:color w:val="3A4A28"/>
          <w:sz w:val="17"/>
        </w:rPr>
        <w:t>BBVA ESG and Sustainability — CDP 'A' rating across climate/water/forests (Garanti BBVA), sustainability as one of six strategic priorities, MSCI ESG recognition in Mexico, Annual Financial and Sustainability Report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Morningstar — BBVA financial data: stock price $29.51 (ADR), P/E 10.18, Forward P/E 9.01, ROE 19.04%, profit margin 31.9%, dividend yield 2.38%, D/E ~308%, market cap EUR 136.9B,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