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BBWI</w:t>
      </w:r>
      <w:r>
        <w:rPr>
          <w:rFonts w:ascii="Calibri" w:hAnsi="Calibri"/>
          <w:b/>
          <w:color w:val="1A2010"/>
          <w:sz w:val="40"/>
        </w:rPr>
        <w:t xml:space="preserve">  Bath &amp; Body Works,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2026-10-17 · Inspire: -67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Specialty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Bath &amp; Body Works is the dominant U.S. specialty retailer of home fragrance, body care, and soap products, operating approximately 1,850 company-operated and franchised stores globally with a growing e-commerce channel. Spun off from L Brands in August 2021, headquartered in Columbus, Ohio. CEO Daniel Heaf (joined May 2025 from Nike) is executing a 'Consumer First Formula' transformation with a newly appointed Chief Brand &amp; Product Officer (Veronique Gabai-Pinsky, May 2026). Q2 FY2026 net sales of ~$1.5B (-2.3% YoY), adjusted EPS $0.62 (+67.6% YoY). Full-year FY2026 guidance: sales decline 2.5-4%, adjusted EPS $2.60-$2.80.</w:t>
      </w:r>
    </w:p>
    <w:p>
      <w:r>
        <w:rPr>
          <w:rFonts w:ascii="Calibri" w:hAnsi="Calibri"/>
          <w:b/>
          <w:color w:val="6E8450"/>
          <w:sz w:val="18"/>
        </w:rPr>
        <w:t>9,071 Employees · https://www.bbwinc.com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Since the August 2021 spin-off from L Brands, Bath &amp; Body Works has executed incremental category extensions into men's grooming, laundry fragrance, and hair care, and built a 37M+ member loyalty program, but revenue has declined for four consecutive years from $7.56B (FY2023) to $7.29B (FY2026), indicating no transformative pivot has materialized [1][2]. AI Deployment (0/2): No evidence of AI-powered products shipping to customers or specific AI-driven cost savings; the company remains a traditional specialty retailer with no disclosed AI strategy. Market Share (2/2): Bath &amp; Body Works is the undisputed category leader in U.S. specialty personal care and home fragrance, with ~1,850 stores and brand recognition commanding premium pricing — no close direct competitor matches this scale, and international franchise sales grew 9% in Q1 2026 [1]. Product Pipeline (1/2): Appointment of first-ever Chief Brand &amp; Product Officer Veronique Gabai-Pinsky in May 2026 and CEO Daniel Heaf's 'Consumer First Formula' signal product innovation commitment, but no specific next-gen launches with revenue visibility have been announced [2]. R&amp;D Intensity (0/1): As a specialty retailer, product development spending is modest relative to revenue and below top-quartile intensity for the consumer discretionary sector.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Bath &amp; Body Works' purpose centers on 'making the world a brighter, happier place through the power of fragrance' — specific to the company's domain and connecting products to emotional well-being, but not deeply distinctive or proven to drive difficult strategic decisions beyond standard retail operations [4]. Community Impact (1/2): The company's inaugural ESG report (April 2023) details Scope 1 and 2 emissions reduction targets (50% by 2030), packaging sustainability goals (100% reusable/recyclable/compostable by 2030), and human rights commitments across the supply chain — responsible but standard corporate programs [4]. Employee Retention (1/2): Glassdoor rating of 3.7/5 from 11,000+ reviews with 70% recommending the company is in line with retail industry averages; however, three CEOs since the 2021 spin-off and a CFO departure in June 2026 undermine organizational stability signals [3]. Insider Buying (0/2): No evidence of meaningful net insider buying by CEO Daniel Heaf or senior executives in the past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 with D/E and ROE excluded due to negative stockholders' equity (-$5.23/share book value from aggressive buybacks funded by $4.7B in debt) [1]. Valuation is exceptionally attractive: Forward P/E of 7.23 scores 1.0 (well below 20 target) and payout ratio of 21.1% scores 1.0 (well below 40% target). Revenue metrics are weak: YoY growth of -2.3% scores 0.59, and estimated 5-year CAGR of approximately -1.0% scores 0.27, reflecting persistent post-COVID revenue normalization [1][2]. Profit margin of 10.8% scores 0.54. Dividend history is short: 5 consecutive years paid since the 2021 spin-off scores 0.50 (2x weight), with 0 consecutive years of growth (flat $0.80/year since FY2023) and ~1.6% 5-year dividend growth CAGR scoring 0.27 (2x weight). Daily dollar volume of ~$131M provides ample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Bath &amp; Body Works operates with a largely finite mindset, cycling through three CEOs since the 2021 spin-off while executing cost optimization and share buybacks to manage a declining revenue base. CEO Daniel Heaf's 'Consumer First Formula' reads as tactical restructuring rather than cause-driven leadership, and the company's strategy of leveraging the balance sheet to negative equity for buybacks while revenues contract for four consecutive years suggests prioritizing near-term financial engineering over durable capability building. The appointment of a Chief Brand &amp; Product Officer signals some long-term intent, but organizational instability and a securities class action lawsuit (January 2026) undermine infinite game credibility.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BBWI's purpose of 'making the world a brighter, happier place through the power of fragrance' is genuine but shallow in Sinek's framework — it describes what the company sells rather than articulating a durable, idealistic future state that people would sacrifice to advance [1]. With three CEOs since the 2021 spin-off, the cause lacks the leadership consistency that validates a Just Cause. The transformation strategy focuses on operational metrics rather than purpose-driven decisions.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Glassdoor's 3.7/5 rating with 70% recommending is adequate for retail, but only 51% see a positive business outlook, suggesting muted organizational confidence [3]. Three CEOs since 2021, a CFO departure in June 2026, and significant C-suite turnover (new CHRO, Chief Commercial Officer, CBPO all appointed within 12 months) create organizational instability rather than a high-trust environment. No evidence of psychological safety initiatives or employee empowerment programs.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BBWI's competitive language in public filings and earnings calls focuses on 'category leadership' and defending market dominance in home fragrance — a finite-game mindset of winning rather than improving [1]. No evidence that management acknowledges competitors' strengths or uses competitive pressure as motivation for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2021 L Brands spin-off represented meaningful structural transformation, separating from Victoria's Secret to become a focused fragrance and body care company [1]. Post-spin, the company expanded into adjacent categories (men's grooming, laundry fragrance) and grew international franchise presence. CEO Heaf's appointment of the first-ever CBPO signals willingness to evolve the operating model [2]. However, the core specialty retail model remains fundamentally unchanged, and recent moves are incremental optimization rather than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costly long-term bets or sacrificing short-term results for long-term capability. Revenue has declined for four consecutive years yet the company maintains aggressive buybacks funded by $4.7B in debt, driving book value to -$5.23/share — financial engineering that prioritizes near-term EPS over balance sheet resilience [1]. The CFO departed June 2026 without a permanent successor, and a securities class action lawsuit filed January 2026 alleges misleading communications about strategy effectiveness.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Bath &amp; Body Works at $20.14 with a $4.1B market cap is a deep value play on the dominant U.S. specialty fragrance and body care retailer, trading at just 5.3x trailing and 7.2x forward earnings with a 3.97% dividend yield and $765M in annual free cash flow [1][2]. The company is the uncontested category leader with ~1,850 stores, a 37M+ member loyalty program, and proprietary fragrance formulations that create habitual purchasing patterns. Q2 FY2026 adjusted EPS of $0.62 beat expectations with a 67.6% YoY increase, and management raised full-year adjusted EPS guidance to $2.60-$2.80 [1]. CEO Daniel Heaf (ex-Nike) and newly appointed CBPO Veronique Gabai-Pinsky are executing a 'Consumer First Formula' transformation aimed at brand elevation and product innovation [2]. Even at guided revenue declines, the business generates $1.27B in operating cash flow with 43% gross margins.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structural decline masquerading as value. Revenue has fallen for four consecutive years from $7.56B (FY2023) to a guided $7.0-7.1B range for FY2027, and Q2 FY2026 sales per average selling square foot declined 6.8%, suggesting persistent traffic erosion that promotional activity cannot offset [1][2]. The balance sheet carries $4.7B in debt against negative stockholders' equity (-$5.23/share), providing no margin of safety if the consumer spending environment deteriorates. Three CEOs since the 2021 spin-off, a CFO departure in June 2026, and a securities class action lawsuit filed January 2026 create organizational instability that undermines transformation credibility. The dividend has been flat at $0.80/year since FY2023 with zero growth, and Q2 profitability was flattered by ~$80M in tariff refunds that may not recur [1]. Specialty retail faces secular headwinds from mass-market competitors, private-label alternatives, and DTC brands that could erode BBWI's pricing power over time.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CEO Daniel Heaf's 'Consumer First Formula' transformation and first-ever CBPO Veronique Gabai-Pinsky driving product innovation, brand elevation, and comparable store sales stabilization — any revenue stabilization could trigger significant multiple expansion from 7.2x forward P/E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franchise expansion providing capital-light growth offset to declining domestic comps — Q1 2026 international sales grew 9%, with meaningful whitespace in Asia, Europe, and Latin America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Deep value re-rating potential: $765M annual free cash flow, 3.97% dividend yield with 21% payout ratio, and 43% gross margins suggest the business is far more durable than the distressed valuation implies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Four consecutive years of revenue decline with FY2026 guidance of -2.5% to -4% and sales per selling square foot down 6.8% in Q2, suggesting structural traffic erosion in specialty retail that operational optimization cannot reverse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Overleveraged balance sheet with $4.7B debt against negative stockholders' equity and no permanent CFO creates financial fragility — any prolonged consumer downturn could pressure debt service capacity and dividend sustainability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instability with three CEOs since 2021 spin-off, CFO departure June 2026, and a securities class action lawsuit filed January 2026, compounding execution risk during a critical transformation period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Bath &amp; Body Works' core business — selling physical fragrance and personal care products through sensory-driven retail experiences — is structurally immune to AI disruption [1]. The in-store experience of testing scents, touching products, and seasonal discovery cannot be replicated by AI assistants or digital tools. Manufacturing candles, soaps, and lotions is a physical/chemical process, and the ~1,850-store network serves as both distribution and experiential marketing infrastructure that AI structurally cannot displace. Analysts have not flagged AI as a risk factor for specialty fragrance retail. AI may modestly improve competitor marketing and personalization capabilities, but cannot substitute the physical product or sensory purchasing behavior. AI Opportunity (0/1): No evidence of quantifiable AI-derived revenue. BBWI has not disclosed AI-powered products or meaningful AI-driven operational efficiencies.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Bath &amp; Body Works Q2 FY2026 Earnings Release — Net sales ~$1.5B (-2.3% YoY), Adj. EPS $0.62 (+67.6%), ~$80M tariff refunds, sales/sq ft -6.8%, FY2026 guidance narrowed,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Bath &amp; Body Works Leadership and Strategy — CEO Daniel Heaf (ex-Nike, May 2025), CBPO Veronique Gabai-Pinsky (May 2026), 'Consumer First Formula' transformation, Securities class action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Bath &amp; Body Works Glassdoor Reviews — 3.7/5 stars, 11,173 reviews, CEO approval 56-59%, 70% recommend, 51% positive business outlook,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Bath &amp; Body Works ESG Report and Sustainability — Inaugural ESG report April 2023, Scope 1/2 reduction targets 50% by 2030, packaging goals, Sustainalytics ESG Risk Rating 14.2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