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w:t>
      </w:r>
      <w:r>
        <w:rPr>
          <w:rFonts w:ascii="Calibri" w:hAnsi="Calibri"/>
          <w:b/>
          <w:color w:val="1A2010"/>
          <w:sz w:val="40"/>
        </w:rPr>
        <w:t xml:space="preserve">  BlackBerry Limited</w:t>
      </w:r>
    </w:p>
    <w:p>
      <w:pPr>
        <w:spacing w:after="120"/>
      </w:pPr>
      <w:r>
        <w:rPr>
          <w:rFonts w:ascii="Calibri" w:hAnsi="Calibri"/>
          <w:b/>
          <w:color w:val="6E8450"/>
          <w:sz w:val="18"/>
        </w:rPr>
        <w:t>GROWTH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Canada</w:t>
      </w:r>
    </w:p>
    <w:p>
      <w:pPr>
        <w:spacing w:after="80"/>
      </w:pPr>
      <w:r>
        <w:rPr>
          <w:rFonts w:ascii="Calibri" w:hAnsi="Calibri"/>
          <w:b w:val="0"/>
          <w:color w:val="3A4A28"/>
          <w:sz w:val="20"/>
        </w:rPr>
        <w:t>BlackBerry provides intelligent security software and services through two segments: QNX (safety-critical embedded real-time operating system deployed in 255M+ vehicles for automotive, medical, and industrial applications) and Secure Communications (encrypted messaging and digital sovereignty solutions for defense and government clients). CEO John Giamatteo leads the post-smartphone transformation. BlackBerry achieved five consecutive quarters of GAAP profitability through Q1 FY2027, with TTM revenue of $614M, 77.9% gross margins, and a market cap of $4.9B.</w:t>
      </w:r>
    </w:p>
    <w:p>
      <w:r>
        <w:rPr>
          <w:rFonts w:ascii="Calibri" w:hAnsi="Calibri"/>
          <w:b/>
          <w:color w:val="6E8450"/>
          <w:sz w:val="18"/>
        </w:rPr>
        <w:t>1,749 Employees · https://www.blackberry.com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BlackBerry executed a significant strategic restructuring, divesting the Cylance cybersecurity unit to Arctic Wolf for $160M and its legacy patent portfolio to focus exclusively on QNX embedded software and Secure Communications [1]. QNX achieved record quarterly revenue of $78.7M (+20% YoY) in Q4 FY2026 and expanded from automotive into robotics, industrial IoT, and physical AI markets [1]. SecuComm returned to revenue growth driven by digital sovereignty demand from expanding defense budgets [1]. These moves transformed a shrinking, unprofitable company into a focused, GAAP-profitable software business. AI Deployment (1/2): BlackBerry positions QNX as the safety-critical operating system for physical AI applications — autonomous vehicles, robotic surgery, and industrial automation — and management emphasizes security-first AI adoption for mission-critical systems [3]. The FY2026 10-K notes the company has begun incorporating AI technologies into operations and development [3]. However, no proprietary AI products are shipping and no specific AI-driven revenue is quantified. Market Share (2/2): QNX is the dominant embedded real-time operating system in automotive, deployed in 255M+ vehicles across major OEMs with a royalty backlog of $950M [1]. No competitor has matched QNX's safety certification portfolio (ISO 26262, IEC 61508) at this scale, establishing durable category leadership in safety-critical embedded software. Product Pipeline (1/2): QNX is expanding into general embedded markets with physical AI as the growth thesis, targeting 800M-1B device installations by 2030, and SecuComm is growing ARR in digital sovereignty [1]. FY2027 guidance of $584-611M revenue provides near-term visibility. R&amp;D Intensity (1/1): BlackBerry's R&amp;D spending as a percentage of revenue exceeds the infrastructure software industry average, reflecting the investment required for safety-critical certifications across automotive, medical, and industrial verticals.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BlackBerry's mission — delivering secure, mission-critical software for connected industries with a vision to be the foundational software enabling a secure connected world — is clear and identifies the company's specific purpose [3]. The focus on protecting safety-critical systems gives the mission genuine weight. However, neither statement articulates a deeper transformative purpose, and the mission is interchangeable with several cybersecurity peers. Community Impact (0/2): No evidence of distinctive charitable giving, corporate foundation, or community investment programs with specific dollar amounts. BlackBerry's ESG report highlights carbon neutrality (Scope 1-3 maintained through FY2025) and board diversity at 56%, but these are governance metrics, not community impact programs [5]. Employee Retention (0/2): Glassdoor reviews cite 'huge turnover,' senior management not being 'receptive to change,' and failure to promote from within while underpaying internal talent [3]. The workforce was cut by 37% under CEO Giamatteo, and no positive retention data (average tenure, voluntary turnover rates) is publicly available. Insider Buying (0/2): No evidence of meaningful net insider purchases by executives in the last 12 months; insider activity shows net selling with compensation-plan sales dominating transactions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BlackBerry's strongest attribute is its conservative balance sheet with D/E of 27.9% (score 1.0), reflecting the asset-light software model post-divestitures with $377.5M cash against $221M debt [4]. Revenue growth YoY of 26% (score 1.0) demonstrates accelerating momentum from FY2026's 3% growth, with Q1 FY2027 revenue reaching $153M as both QNX and SecuComm achieved Rule of 40 [2]. ROE of 10.6% (score 0.71, 2x weight) and profit margin of 13.1% (score 0.65) show improving profitability as the turnaround gains traction [1]. Forward P/E of 35.93 (score 0.60) and PEG of 1.47 (score 0.77, 2x weight) reflect a reasonable valuation for the growth rate. The primary drag is the 5-year revenue CAGR of approximately -9% (score 0.0, 2x weight), driven by deliberate divestitures of Cylance, patent portfolios, and legacy businesses rather than organic decline [1]. Liquidity is robust at approximately $123M daily trading value ($8.45 x 14.6M avg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BlackBerry's reinvention from smartphone maker to embedded software company is one of the most dramatic corporate pivots in tech history, but it was driven by survival necessity rather than a Just Cause. The company clung to its handset business for years after the iPhone disrupted it, and each subsequent pivot was forced by market realities. Under CEO Giamatteo, the company has prioritized operational discipline and profitability — admirable but finite-game objectives. Glassdoor reviews citing high turnover and management rigidity suggest the culture has not developed the trust foundation that infinite game players require.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BlackBerry articulates a purpose of 'enabling a secure connected world' that connects its work to protecting critical infrastructure where failure could mean loss of life [3]. The focus on safety-critical automotive, medical, and defense systems gives the mission genuine weight. However, this cause was adopted post-crisis during a survival pivot, not cultivated through decades of consistent execution. Strategic communications emphasize turnaround metrics (Rule of 40, EBITDA margins, FCF) rather than the cause shaping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indicators point to a low-trust organizational environment. Glassdoor reviews describe 'huge turnover,' senior management not being 'receptive to change,' and the company failing to promote from within while underpaying internal talent [3]. The 37% headcount reduction under Giamatteo, while operationally necessary, created organizational instability. Three CEOs in the last decade (Lazaridis/Balsillie, Chen, Giamatteo) and multiple strategic pivots have eroded institutional knowledge. With only 1,749 employees remaining, the company lacks the scale and stability that builds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BlackBerry's leadership acknowledging competitors' strengths or using competitive pressure for self-improvement. Management commentary emphasizes QNX's embedded moat, safety certifications, and government security clearances as defensive positioning rather than learning from competitors' strengths. The competitive posture is fortress defense rather than growth-oriented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BlackBerry abandoned its iconic smartphone business and reinvented as a software company, then further pivoted by divesting Cylance to Arctic Wolf for $160M to focus exclusively on QNX and SecuComm [1]. These were genuine strategic transformations that redefined the company. However, Sinek explicitly distinguishes between flexibility driven by a Just Cause and flexibility driven by desperation. BlackBerry's smartphone pivot was forced by the market (iPhone destroyed demand), and the Cylance divestiture was driven by underperformance. The willingness to reinvent is real, but the motivation was survival.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Giamatteo made the difficult decision to divest Cylance at a steep loss (originally purchased for $1.4B) and cut 37% of the workforce, shrinking revenue in the short term to focus on higher-quality QNX and SecuComm businesses [1]. The commitment to achieving five consecutive quarters of GAAP profitability after years of losses required operational discipline. However, these were pragmatic optimization decisions rather than costly long-term bets made in service of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BlackBerry at $8.45 (35.9x forward earnings) is a turnaround story with accelerating momentum — Q1 FY2027 revenue surged 26% YoY to $153M with both QNX and SecuComm achieving Rule of 40 performance, marking five consecutive quarters of GAAP profitability [2]. QNX is the crown jewel: record quarterly revenue of $78.7M (+20% YoY), $950M royalty backlog, category leadership in safety-critical automotive OS across 255M+ vehicles, and expansion into physical AI markets (robotics, autonomous driving, industrial automation) [1]. FY2027 guidance of $584-611M revenue with $0.15-$0.19 non-GAAP EPS and ~$100M operating cash flow implies sustained acceleration [1]. The financial profile has materially improved: TTM revenue of $614M, 77.9% gross margins, 13.1% profit margin, $138M FCF, and a conservative balance sheet with $377.5M cash against $221M debt (D/E 28%) [4]. The PEG of 1.47 suggests reasonable valuation relative to the growth rate.</w:t>
      </w:r>
    </w:p>
    <w:p>
      <w:pPr>
        <w:spacing w:after="120"/>
      </w:pPr>
      <w:r>
        <w:rPr>
          <w:rFonts w:ascii="Calibri" w:hAnsi="Calibri"/>
          <w:b w:val="0"/>
          <w:color w:val="3A4A28"/>
          <w:sz w:val="20"/>
        </w:rPr>
        <w:t>The bear case centers on extreme trailing multiples, subscale operations, and structural competitive risks. Forward P/E of 35.9x on a company with trailing P/E of 65x prices in substantial earnings growth from a business that generated only $0.13 trailing EPS — any deceleration from Q1's 26% growth rate could trigger multiple compression [4]. The 5-year revenue CAGR of -9% reflects a company that has been shrinking through divestitures, not organically growing, and the thin profitability ($0.13 EPS) provides no margin for error. With only 1,749 employees, BlackBerry lacks the engineering depth to simultaneously defend QNX's automotive dominance while expanding into physical AI, medical devices, and industrial IoT. QNX faces emerging competitive threats from open-source Automotive Grade Linux and Google's Android Automotive that could erode royalty pricing in next-generation vehicle platforms. Glassdoor feedback describing high turnover and rigid management raises execution risk. The Inspire Impact Score of 0 (MIXED) with no attributions reflects limited visibility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QNX physical AI expansion into autonomous vehicles, robotics, and industrial automation represents a TAM multiplier from automotive-only to the broader embedded systems market, with the $950M royalty backlog providing multi-year revenue visibility as design wins convert to production royalties [1][2]</w:t>
      </w:r>
    </w:p>
    <w:p>
      <w:pPr>
        <w:spacing w:before="40" w:after="40"/>
        <w:ind w:left="283"/>
      </w:pPr>
      <w:r>
        <w:rPr>
          <w:rFonts w:ascii="Calibri" w:hAnsi="Calibri"/>
          <w:b/>
          <w:color w:val="4A6B25"/>
          <w:sz w:val="20"/>
        </w:rPr>
        <w:t xml:space="preserve">2. </w:t>
      </w:r>
      <w:r>
        <w:rPr>
          <w:rFonts w:ascii="Calibri" w:hAnsi="Calibri"/>
          <w:b w:val="0"/>
          <w:color w:val="3A4A28"/>
          <w:sz w:val="20"/>
        </w:rPr>
        <w:t>SecuComm revenue inflection driven by global defense budget expansion and digital sovereignty mandates — NATO countries increasingly require sovereign-controlled encrypted communications, with FY2026 marking the return to growth after two years of decline [1]</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as revenue scales toward $600M+ — QNX's 77.9% gross margins and the software-centric model should drive significant margin expansion, with FY2027 operating cash flow targeted at ~$100M representing a step-change in FCF generation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QNX royalty pricing pressure from open-source automotive OS alternatives (Automotive Grade Linux, AUTOSAR Adaptive) and Google's Android Automotive gaining traction with cost-sensitive OEMs, particularly Chinese automakers representing the fastest-growing vehicle production market [1]</w:t>
      </w:r>
    </w:p>
    <w:p>
      <w:pPr>
        <w:spacing w:before="40" w:after="40"/>
        <w:ind w:left="283"/>
      </w:pPr>
      <w:r>
        <w:rPr>
          <w:rFonts w:ascii="Calibri" w:hAnsi="Calibri"/>
          <w:b/>
          <w:color w:val="4A6B25"/>
          <w:sz w:val="20"/>
        </w:rPr>
        <w:t xml:space="preserve">2. </w:t>
      </w:r>
      <w:r>
        <w:rPr>
          <w:rFonts w:ascii="Calibri" w:hAnsi="Calibri"/>
          <w:b w:val="0"/>
          <w:color w:val="3A4A28"/>
          <w:sz w:val="20"/>
        </w:rPr>
        <w:t>Subscale operations with only 1,749 employees limit BlackBerry's ability to pursue multiple growth vectors simultaneously — engineering bandwidth to defend automotive QNX while expanding into physical AI, medical, and industrial verticals is constrained [4]</w:t>
      </w:r>
    </w:p>
    <w:p>
      <w:pPr>
        <w:spacing w:before="40" w:after="40"/>
        <w:ind w:left="283"/>
      </w:pPr>
      <w:r>
        <w:rPr>
          <w:rFonts w:ascii="Calibri" w:hAnsi="Calibri"/>
          <w:b/>
          <w:color w:val="4A6B25"/>
          <w:sz w:val="20"/>
        </w:rPr>
        <w:t xml:space="preserve">3. </w:t>
      </w:r>
      <w:r>
        <w:rPr>
          <w:rFonts w:ascii="Calibri" w:hAnsi="Calibri"/>
          <w:b w:val="0"/>
          <w:color w:val="3A4A28"/>
          <w:sz w:val="20"/>
        </w:rPr>
        <w:t>Forward P/E of 35.9x embeds significant growth expectations from a company with a -9% 5-year revenue CAGR and only $0.13 trailing EPS — any revenue miss could trigger sharp multiple compression and the thin profitability provides no margin for error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BlackBerry's core QNX business is structurally protected from AI disruption — safety-critical embedded real-time operating systems in vehicles, medical devices, and industrial automation cannot be replaced by AI models. QNX sits at the hardware-software boundary where deterministic, certified performance (ISO 26262, IEC 61508) is non-negotiable, and AI actually increases demand for QNX as autonomous vehicles and physical AI applications require certified RTOS platforms beneath AI workloads [1]. The $950M royalty backlog provides multi-year revenue visibility embedded in OEM production cycles [1]. SecuComm serves government and defense clients requiring sovereign encryption — a market where AI creates more threat vectors (and thus more demand) rather than substitution risk. The FY2026 10-K acknowledges AI risks in development practices and regulatory exposure but frames these as operational rather than existential [3]. AI Opportunity (1/1): QNX generates revenue from AI-adjacent infrastructure — autonomous vehicle prototypes and physical AI robotics platforms running on QNX constitute AI-enabled revenue, with management specifically citing 'accelerating momentum in physical AI and other general embedded markets' as a growth driver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BlackBerry Q4 FY2026 &amp; Full Year Results — Revenue $156M (+10%), QNX Record $78.7M (+20%), Royalty Backlog $950M, Cylance Sold to Arctic Wolf for $160M, FY2027 Guidance $584-611M — SEC 8-K Filing, Nasdaq, April 2026</w:t>
      </w:r>
    </w:p>
    <w:p>
      <w:pPr>
        <w:spacing w:before="20" w:after="20"/>
        <w:ind w:left="170"/>
      </w:pPr>
      <w:r>
        <w:rPr>
          <w:rFonts w:ascii="Calibri" w:hAnsi="Calibri"/>
          <w:b/>
          <w:color w:val="4A6B25"/>
          <w:sz w:val="15"/>
        </w:rPr>
        <w:t xml:space="preserve">2. </w:t>
      </w:r>
      <w:r>
        <w:rPr>
          <w:rFonts w:ascii="Calibri" w:hAnsi="Calibri"/>
          <w:b w:val="0"/>
          <w:color w:val="3A4A28"/>
          <w:sz w:val="17"/>
        </w:rPr>
        <w:t>BlackBerry Q1 FY2027 Earnings — Revenue $153M (+26% YoY), Fifth Consecutive GAAP Profitable Quarter, Both Segments Rule of 40 — SEC 8-K Filing, Motley Fool, Benzinga, July 2026</w:t>
      </w:r>
    </w:p>
    <w:p>
      <w:pPr>
        <w:spacing w:before="20" w:after="20"/>
        <w:ind w:left="170"/>
      </w:pPr>
      <w:r>
        <w:rPr>
          <w:rFonts w:ascii="Calibri" w:hAnsi="Calibri"/>
          <w:b/>
          <w:color w:val="4A6B25"/>
          <w:sz w:val="15"/>
        </w:rPr>
        <w:t xml:space="preserve">3. </w:t>
      </w:r>
      <w:r>
        <w:rPr>
          <w:rFonts w:ascii="Calibri" w:hAnsi="Calibri"/>
          <w:b w:val="0"/>
          <w:color w:val="3A4A28"/>
          <w:sz w:val="17"/>
        </w:rPr>
        <w:t>BlackBerry FY2026 10-K — AI Risk Disclosures, GenAI Integration in Development, QNX Physical AI Strategy, Mission Statement — SEC EDGAR,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BB Key Statistics: Price $8.45, Forward P/E 35.93x, PEG 1.47, ROE 10.60%, D/E 27.9%, Profit Margin 13.1%, Market Cap $4.9B, Avg Volume 14.6M —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BlackBerry ESG Report — Carbon Neutrality Scope 1-3 Through FY2025, Board Diversity 56% — PRNewswire, BlackBerry Corporate</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