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BCBP</w:t>
      </w:r>
      <w:r>
        <w:rPr>
          <w:rFonts w:ascii="Calibri" w:hAnsi="Calibri"/>
          <w:b/>
          <w:color w:val="1A2010"/>
          <w:sz w:val="40"/>
        </w:rPr>
        <w:t xml:space="preserve">  BCB Bancorp, Inc. (NJ)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2026-10-06 · Inspire: 57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32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Banks - Regional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Bayonne, New Jersey bank holding company for BCB Community Bank, focused on commercial real estate and community lending.</w:t>
      </w:r>
    </w:p>
    <w:p>
      <w:r>
        <w:rPr>
          <w:rFonts w:ascii="Calibri" w:hAnsi="Calibri"/>
          <w:b/>
          <w:color w:val="6E8450"/>
          <w:sz w:val="18"/>
        </w:rPr>
        <w:t>https://www.bcbcommunitybank.com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0/3: conventional community bank with no notable launches or pivots found. AI 0/2: no AI strategy found in search. Share 1/2: meaningful regional player, not a leader; pipeline 0/2; R&amp;D 0/1.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2/4: community-banking purpose under new CEO Thomas O'Brien (48 years in community banking) is clear but not distinctive [2]. Community 1/2: general community bank engagement without dollar data. Retention 0/2 and insider buying 0/2: leadership turnover and no buying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Calculated mechanically (Dividend sleeve). Forward P/E 12.4 scores 1.0; ROE -5.8%, margin -28%, revenue growth (-80.8% per yfinance) and dividend growth (dividend halved to $0.08 quarterly) score 0; years paid estimated at 19 (2x) scores 1.0. D/E unavailable for a bank and excluded. Weighted 3.0 of 9 gives 3. Liquidity floor clear: about $2.1M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BCB is in repair mode with serial leadership change and no distinctive cause, a finite player focused on stabilization.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community-bank purpose is generic and has not guided a consistent record amid losses.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CEO Shriner separated, an interim CEO followed, and Thomas O'Brien started June 1, 2026, a disruptive leadership run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rival-learning language.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restructuring toward balance sheet repair is incremental.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(0/2): no evidence of costly long-term bets; credit problems led to a dividend cut and a net loss of $12.0M in Q4 2025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Bull case: Q1 2026 net income of $4.9M ($0.26 EPS) reversed a $12.0M Q4 2025 loss, the stock trades at 12.4x forward earnings, and a new CEO with 48 years of community banking experience was installed to accelerate improvement [1][2]. Dividend yield is about 3.8%.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Bear case: Q2 2026 EPS was -$0.85 on revenue down 9.2% to $22.9M, TTM revenue is down 4.75%, ROE is -5.8%, and the dividend was cut to $0.08 per quarter [1]. Three CEOs in about two years signal governance instability, and credit quality is the swing factor.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New CEO Thomas O'Brien executing a credit and expense reset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Return to quarterly profitability after Q2 loss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Analyst-expected 2026-2027 revenue recovery (+7.4% 2027)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Further credit provisions in commercial real estate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Leadership churn and strategy discontinuity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Dividend sustainability after the cut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6/9: regulated deposit and lending franchise with relationship banking is protected; AI primarily affects back-office and fraud/cyber threat vectors. No analyst warnings specific to BCB were found. AI Opportunity 0/1: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57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BCB Bancorp 8-K Q2 2026 and Yahoo Finance Q2 summary,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BCB Bancorp CEO announcements (Stock Titan), 2024-2026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