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BC</w:t>
      </w:r>
      <w:r>
        <w:rPr>
          <w:rFonts w:ascii="Calibri" w:hAnsi="Calibri"/>
          <w:b/>
          <w:color w:val="1A2010"/>
          <w:sz w:val="40"/>
        </w:rPr>
        <w:t xml:space="preserve">  Brunswick Corporation</w:t>
      </w:r>
    </w:p>
    <w:p>
      <w:pPr>
        <w:spacing w:after="120"/>
      </w:pPr>
      <w:r>
        <w:rPr>
          <w:rFonts w:ascii="Calibri" w:hAnsi="Calibri"/>
          <w:b/>
          <w:color w:val="6E8450"/>
          <w:sz w:val="18"/>
        </w:rPr>
        <w:t>DIVIDEND SLEEVE · 2026-09-30 · Inspire: 65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Recreational Vehicles · NYSE · United States</w:t>
      </w:r>
    </w:p>
    <w:p>
      <w:pPr>
        <w:spacing w:after="80"/>
      </w:pPr>
      <w:r>
        <w:rPr>
          <w:rFonts w:ascii="Calibri" w:hAnsi="Calibri"/>
          <w:b w:val="0"/>
          <w:color w:val="3A4A28"/>
          <w:sz w:val="20"/>
        </w:rPr>
        <w:t>Brunswick Corporation is the world's largest recreational marine company, designing, manufacturing, and marketing marine propulsion systems (Mercury Marine), boats (Boston Whaler, Sea Ray, Lund, Bayliner, Crestliner), marine electronics (Navico Group: Simrad, Lowrance, B&amp;G, C-MAP), and marine parts and accessories. Operates through Propulsion, Engine P&amp;A, Navico Group, and Boat segments. Founded 1845, headquartered in Mettawa, Illinois. CEO David Foulkes since 2019 (Chairman since March 2025) leads the ACES Innovation Strategy (Autonomy, Connectivity, Electrification, Shared Access). Market cap ~$4.2B.</w:t>
      </w:r>
    </w:p>
    <w:p>
      <w:r>
        <w:rPr>
          <w:rFonts w:ascii="Calibri" w:hAnsi="Calibri"/>
          <w:b/>
          <w:color w:val="6E8450"/>
          <w:sz w:val="18"/>
        </w:rPr>
        <w:t>14,000 Employees · https://www.brunswick.com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Brunswick launched its Boating Intelligence platform and AutoCaptain autonomous docking system at CES 2025/2026, representing the most significant technology leap in recreational marine in decades [2]. The ACES strategy has delivered 100+ new products per year with 400+ industry awards over four years, earning Fast Company 'World's Most Innovative Companies' recognition [2]. The company completed a transformative strategic pivot from a diversified conglomerate (bowling, fitness, billiards) to a pure-play marine technology leader through disciplined divestiture. Mercury Marine gained 200bps of U.S. outboard market share in Q2 2026. AI Deployment (1/2): AutoCaptain AI-powered autonomous docking is shipping or near-shipping, and Boating Intelligence integrates AI-driven navigation and vessel management across the fleet [2]. Brunswick's CTO describes AI as enabling 'a decade of profound opportunity' in marine. However, no specific AI-driven revenue figures have been quantified. Market Share (2/2): Brunswick is the undisputed global marine leader — Mercury Marine holds dominant propulsion market share and gained 200bps in Q2 2026 [1]. The boat portfolio spans every major recreational category with #1 or #2 positions across sport boats, aluminum fishing, pontoons, and center consoles [5]. Product Pipeline (1/2): ACES roadmap includes Avator electric propulsion, next-generation autonomous systems, and connected boat platforms with general timelines. The pipeline is broad but lacks specific next-gen product launch dates with revenue visibility. R&amp;D Intensity (1/1): R&amp;D spending is top-tier for the marine industry, with dedicated technology centers, Navico Group marine electronics innovation, and the Avator electric program driving above-industry R&amp;D investment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Brunswick's purpose centers on 'Next Never Rests' — driving innovation in marine recreation. Clear and industry-specific, connecting the company's work to advancing the boating experience, but reads more as a corporate tagline than a transformative vision of a better future [5]. Community Impact (1/2): Brunswick publishes comprehensive sustainability reports, highlights safety records and LED energy conversion saving $200K+ annually at manufacturing facilities, and notes the marine industry's modest 0.7% share of transportation GHG emissions [4]. Named to Newsweek's Most Trustworthy Companies for four consecutive years and Forbes 2026 America's Best Companies List [2]. General corporate responsibility but not distinctively mission-aligned philanthropy. Employee Retention (1/2): Glassdoor rating of 3.8/5 across 318 reviews with employees noting 'good culture and promotes from within' [2]. Forbes 2026 America's Best Companies recognition. Stable leadership under CEO Foulkes since 2019 with Chairman elevation in March 2025. Recent senior leadership appointments in September 2026 suggest organizational investment [3]. Average-to-good retention for manufacturing. Insider Buying (0/2): No evidence of meaningful net insider buying by CEO Foulkes or other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Brunswick is recovering from a challenging trailing period — TTM profit margin of -1.5% and ROE of -4.8% reflect one-time charges, but Q2 2026 showed strong improvement with year-over-year sales growth across all four segments for the fourth consecutive quarter [1]. Forward P/E of 12.0 and PEG of 0.72 are well below targets, representing outstanding value for a cyclical recovery [5]. D/E of 136.5% is manageable for a capital-intensive manufacturer with $523M operating cash flow and $366M free cash flow. Revenue growth YoY of 7.7% approaches the 10% target [1]. Dividend track record is strong: 14 consecutive years paid since 2012 resumption, 13 consecutive years of growth, and 15% average annual dividend growth rate [5]. The trailing payout ratio of 193% is distorted by one-time charges; forward payout on $5.42 consensus EPS is 32.5%. Liquidity check: ~721K avg daily volume × $65.03 = ~$46.9M daily,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Brunswick demonstrates strong infinite game characteristics for a 180-year-old manufacturing company. The deliberate transformation from a diversified conglomerate (bowling, fitness, billiards) to a focused marine technology leader shows purpose-driven strategic consistency. CEO Foulkes has invested in ACES innovation through marine industry downturns, maintaining R&amp;D spending on electric propulsion and autonomous systems even as earnings contracted [1][2]. However, the company's quarterly guidance focus, share repurchase emphasis, and adjusted earnings metrics reflect finite-game financial optimization alongside the genuine long-term capability building. The Inspire Impact Score of 65 (ALIGNED) with 16 positive attributions and zero negatives reflects strong ESG alignment across environmental and social dimensions.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Brunswick's identity as a marine innovation company has been validated by 180 years of continuous operation and a deliberate strategic transformation — divesting bowling, fitness, and billiards businesses to concentrate entirely on marine recreation and technology [5]. The ACES strategy (Autonomy, Connectivity, Electrification, Shared Access) represents a genuine vision of the future of boating, not just incremental product improvement. Strategic decisions consistently trace back to advancing marine technology leadership. However, the purpose is more 'industry leader' than a true Sinek Just Cause — it inspires shareholders and employees but doesn't articulate a vision of a future state that demands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3.8/5 across 318 reviews and Forbes 2026 America's Best Companies recognition suggest a generally positive work environment [2][3]. CEO Foulkes has provided stable leadership since 2019 with promotion to Chairman in March 2025. Employees cite good promotion-from-within culture and strong brands to work for. Recent senior leadership appointments in September 2026 suggest continued organizational investment. However, some reviews note disconnects between stated values and management behavior, typical of large manufacturing organizations. Average-to-good trust for the industry, not exceptional.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Brunswick's competitive posture focuses on self-improvement and industry innovation rather than rival destruction. The CTO's framing of AI as creating opportunity rather than responding to competitive threats, and management's focus on advancing the boating experience through technology leadership rather than taking specific market share from named competitors, reflects Sinek's worthy rival mindset [2]. Mercury Marine's 200bps market share gain in Q2 2026 is discussed as a product quality outcome, not a competitive conquest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Brunswick executed a significant strategic transformation over the past two decades — divesting bowling, fitness equipment (Life Fitness), and billiards businesses to become a pure-play marine company [5]. This required abandoning profitable legacy businesses in service of a focused marine technology vision. The current ACES push into electrification (Avator) and autonomy (AutoCaptain) represents continued evolution of the marine technology thesis. The transformation was incremental rather than overnight but genuinely redefined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Brunswick invested heavily in ACES innovation through the challenging marine industry downturn of 2024-2025, maintaining R&amp;D spending on electric propulsion (Avator), autonomous systems (AutoCaptain), and connected boat technology even as revenue and earnings contracted [1][2]. The decision to develop Boating Intelligence required significant upfront investment with uncertain near-term returns. The conglomerate-to-marine transformation involved divesting profitable legacy businesses. However, the company's simultaneous focus on adjusted earnings guidance and share repurchases suggests a balanced rather than purely courageous capital allocation approach.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Brunswick is the global marine industry leader executing a technology-driven transformation through ACES while recovering from a cyclical trough. Q2 2026 delivered year-over-year sales growth across all four segments for the fourth consecutive quarter, with Mercury Marine gaining 200bps of U.S. outboard market share [1]. The stock's 19% decline from $80.85 to $65.03 has compressed the forward P/E to 12.0 and PEG to 0.72 — exceptional value for a dominant franchise with ~40% EPS growth guidance [5]. The company generates $523M operating cash flow and $366M free cash flow supporting both the 2.71% dividend yield (13 consecutive years of 15% annual growth) and share repurchases at cyclically depressed valuations. The Boating Intelligence/AutoCaptain AI platform positions Brunswick as the technology leader in a $170B+ global marine industry. The Inspire Impact Score of 65 (ALIGNED) with 16 positive ESG attributions and zero negatives makes this suitable for faith-aligned portfolios.</w:t>
      </w:r>
    </w:p>
    <w:p>
      <w:pPr>
        <w:spacing w:after="120"/>
      </w:pPr>
      <w:r>
        <w:rPr>
          <w:rFonts w:ascii="Calibri" w:hAnsi="Calibri"/>
          <w:b w:val="0"/>
          <w:color w:val="3A4A28"/>
          <w:sz w:val="20"/>
        </w:rPr>
        <w:t>The bear case centers on cyclical vulnerability, leverage, and trailing losses. Brunswick is a deeply cyclical business — recreational marine demand correlates strongly with consumer confidence, housing wealth, and interest rates. The trailing net loss (profit margin -1.5%, ROE -4.8%) demonstrates how quickly earnings evaporate in a downturn [5]. D/E of 136.5% is elevated for a cyclical manufacturer, and the trailing payout ratio of 193% (distorted by one-time charges; forward payout ~33%) highlights dividend vulnerability in prolonged downturns. The initial 2026 guidance range of $3.80-4.40 adj EPS implies significant uncertainty, and the stock's 28% decline from its 52-week high of $90.25 suggests the market sees recovery risk [5]. Five-year revenue CAGR of ~0.5% reflects a secular growth challenge in recreational marine, with headwinds from aging boater demographics, rising insurance and marina costs, and potential tariff impacts on aluminum and components. The marine industry expects flat-to-slightly-up retail boat unit sales in 2026, limiting volume upside.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adjusted EPS guidance of $3.80-4.40 with analyst consensus at $5.42 suggests continued upward revisions as marine recovery accelerates and Mercury Marine's market share gains compound [1][5]</w:t>
      </w:r>
    </w:p>
    <w:p>
      <w:pPr>
        <w:spacing w:before="40" w:after="40"/>
        <w:ind w:left="283"/>
      </w:pPr>
      <w:r>
        <w:rPr>
          <w:rFonts w:ascii="Calibri" w:hAnsi="Calibri"/>
          <w:b/>
          <w:color w:val="4A6B25"/>
          <w:sz w:val="20"/>
        </w:rPr>
        <w:t xml:space="preserve">2. </w:t>
      </w:r>
      <w:r>
        <w:rPr>
          <w:rFonts w:ascii="Calibri" w:hAnsi="Calibri"/>
          <w:b w:val="0"/>
          <w:color w:val="3A4A28"/>
          <w:sz w:val="20"/>
        </w:rPr>
        <w:t>Boating Intelligence and AutoCaptain AI-powered autonomous systems could command premium pricing, drive boat replacement cycles, and create recurring software/subscription revenue streams beyond traditional hardware sales [2]</w:t>
      </w:r>
    </w:p>
    <w:p>
      <w:pPr>
        <w:spacing w:before="40" w:after="40"/>
        <w:ind w:left="283"/>
      </w:pPr>
      <w:r>
        <w:rPr>
          <w:rFonts w:ascii="Calibri" w:hAnsi="Calibri"/>
          <w:b/>
          <w:color w:val="4A6B25"/>
          <w:sz w:val="20"/>
        </w:rPr>
        <w:t xml:space="preserve">3. </w:t>
      </w:r>
      <w:r>
        <w:rPr>
          <w:rFonts w:ascii="Calibri" w:hAnsi="Calibri"/>
          <w:b w:val="0"/>
          <w:color w:val="3A4A28"/>
          <w:sz w:val="20"/>
        </w:rPr>
        <w:t>At forward P/E 12.0 and PEG 0.72, combined with 2.71% dividend yield growing at 15% annually, Brunswick offers compelling total return at cyclically depressed valuations — dividend alone could double in 5 years at the current growth rate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Deeply cyclical marine demand vulnerable to consumer confidence deterioration, rising interest rates, or housing wealth decline — the trailing net loss demonstrates how quickly earnings collapse in downturns, and a prolonged consumer slowdown could reverse the Q2 2026 recovery momentum [5]</w:t>
      </w:r>
    </w:p>
    <w:p>
      <w:pPr>
        <w:spacing w:before="40" w:after="40"/>
        <w:ind w:left="283"/>
      </w:pPr>
      <w:r>
        <w:rPr>
          <w:rFonts w:ascii="Calibri" w:hAnsi="Calibri"/>
          <w:b/>
          <w:color w:val="4A6B25"/>
          <w:sz w:val="20"/>
        </w:rPr>
        <w:t xml:space="preserve">2. </w:t>
      </w:r>
      <w:r>
        <w:rPr>
          <w:rFonts w:ascii="Calibri" w:hAnsi="Calibri"/>
          <w:b w:val="0"/>
          <w:color w:val="3A4A28"/>
          <w:sz w:val="20"/>
        </w:rPr>
        <w:t>D/E of 136.5% limits financial flexibility for a cyclical manufacturer — if free cash flow declines materially during a prolonged downturn, the dividend (13 consecutive years of growth) could face pressure despite the strong trailing growth rate</w:t>
      </w:r>
    </w:p>
    <w:p>
      <w:pPr>
        <w:spacing w:before="40" w:after="40"/>
        <w:ind w:left="283"/>
      </w:pPr>
      <w:r>
        <w:rPr>
          <w:rFonts w:ascii="Calibri" w:hAnsi="Calibri"/>
          <w:b/>
          <w:color w:val="4A6B25"/>
          <w:sz w:val="20"/>
        </w:rPr>
        <w:t xml:space="preserve">3. </w:t>
      </w:r>
      <w:r>
        <w:rPr>
          <w:rFonts w:ascii="Calibri" w:hAnsi="Calibri"/>
          <w:b w:val="0"/>
          <w:color w:val="3A4A28"/>
          <w:sz w:val="20"/>
        </w:rPr>
        <w:t>Five-year revenue CAGR of ~0.5% reflects secular growth challenges in recreational marine, with headwinds from aging boater demographics, rising insurance/marina costs, and potential tariff impacts on aluminum and international components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Brunswick's core business — manufacturing physical boats, marine engines, and propulsion systems — is structurally immune to AI substitution. Marine manufacturing involves complex physical supply chains, precision engineering, and regulatory compliance (USCG, EPA emissions standards) that AI cannot displace [5]. Marine dealer relationships, service networks, and the recreational boating experience are inherently physical activities that AI enhancement supports but cannot replace. The Navico electronics segment faces modest AI competitive pressure from tech entrants, but Brunswick's integrated Boating Intelligence platform provides first-mover ecosystem advantage [2]. AI demand for data centers and infrastructure increases electricity demand, which indirectly supports discretionary spending cycles. AI Opportunity (1/1): AutoCaptain autonomous docking, Boating Intelligence connected boat platform, and AI-driven navigation/vessel management are actively being commercialized. Brunswick showcased AI-integrated products at CES 2026, and the CTO frames AI as creating 'a decade of profound opportunity' in marine technology [2]. These AI features drive product differentiation and premium pricing across the fleet.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Brunswick Corporation Q2 2026 Earnings — Sales growth across all segments, Mercury Marine 200bps share gain, raised outlook — Investing.com earnings call transcript, SEC 8-K, July 2026</w:t>
      </w:r>
    </w:p>
    <w:p>
      <w:pPr>
        <w:spacing w:before="20" w:after="20"/>
        <w:ind w:left="170"/>
      </w:pPr>
      <w:r>
        <w:rPr>
          <w:rFonts w:ascii="Calibri" w:hAnsi="Calibri"/>
          <w:b/>
          <w:color w:val="4A6B25"/>
          <w:sz w:val="15"/>
        </w:rPr>
        <w:t xml:space="preserve">2. </w:t>
      </w:r>
      <w:r>
        <w:rPr>
          <w:rFonts w:ascii="Calibri" w:hAnsi="Calibri"/>
          <w:b w:val="0"/>
          <w:color w:val="3A4A28"/>
          <w:sz w:val="17"/>
        </w:rPr>
        <w:t>Brunswick ACES Innovation Strategy — AutoCaptain AI, Boating Intelligence, Avator Electric, 400+ awards, Fast Company Most Innovative — CES 2026, Brunswick leadership page, 2025-2026</w:t>
      </w:r>
    </w:p>
    <w:p>
      <w:pPr>
        <w:spacing w:before="20" w:after="20"/>
        <w:ind w:left="170"/>
      </w:pPr>
      <w:r>
        <w:rPr>
          <w:rFonts w:ascii="Calibri" w:hAnsi="Calibri"/>
          <w:b/>
          <w:color w:val="4A6B25"/>
          <w:sz w:val="15"/>
        </w:rPr>
        <w:t xml:space="preserve">3. </w:t>
      </w:r>
      <w:r>
        <w:rPr>
          <w:rFonts w:ascii="Calibri" w:hAnsi="Calibri"/>
          <w:b w:val="0"/>
          <w:color w:val="3A4A28"/>
          <w:sz w:val="17"/>
        </w:rPr>
        <w:t>Brunswick Senior Leadership Appointments and Forbes Recognition — Forbes 2026 America's Best Companies, September 2026 executive hires — Quiver Quantitative, FinancialContent, September 2026</w:t>
      </w:r>
    </w:p>
    <w:p>
      <w:pPr>
        <w:spacing w:before="20" w:after="20"/>
        <w:ind w:left="170"/>
      </w:pPr>
      <w:r>
        <w:rPr>
          <w:rFonts w:ascii="Calibri" w:hAnsi="Calibri"/>
          <w:b/>
          <w:color w:val="4A6B25"/>
          <w:sz w:val="15"/>
        </w:rPr>
        <w:t xml:space="preserve">4. </w:t>
      </w:r>
      <w:r>
        <w:rPr>
          <w:rFonts w:ascii="Calibri" w:hAnsi="Calibri"/>
          <w:b w:val="0"/>
          <w:color w:val="3A4A28"/>
          <w:sz w:val="17"/>
        </w:rPr>
        <w:t>Brunswick Corporation Sustainability Report — Environmental initiatives, Newsweek Most Trustworthy Companies, ESG programming — brunswick.com/corporate-responsibility</w:t>
      </w:r>
    </w:p>
    <w:p>
      <w:pPr>
        <w:spacing w:before="20" w:after="20"/>
        <w:ind w:left="170"/>
      </w:pPr>
      <w:r>
        <w:rPr>
          <w:rFonts w:ascii="Calibri" w:hAnsi="Calibri"/>
          <w:b/>
          <w:color w:val="4A6B25"/>
          <w:sz w:val="15"/>
        </w:rPr>
        <w:t xml:space="preserve">5. </w:t>
      </w:r>
      <w:r>
        <w:rPr>
          <w:rFonts w:ascii="Calibri" w:hAnsi="Calibri"/>
          <w:b w:val="0"/>
          <w:color w:val="3A4A28"/>
          <w:sz w:val="17"/>
        </w:rPr>
        <w:t>Yahoo Finance — BC key statistics: price $65.03, forward PE 12.0, PEG 0.72, D/E 136.5%, dividend yield 2.71%, avg volume 720K, 52-wk range $58.56-$90.25,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