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BDN</w:t>
      </w:r>
      <w:r>
        <w:rPr>
          <w:rFonts w:ascii="Calibri" w:hAnsi="Calibri"/>
          <w:b/>
          <w:color w:val="1A2010"/>
          <w:sz w:val="40"/>
        </w:rPr>
        <w:t xml:space="preserve">  Brandywine Realty Trust</w:t>
      </w:r>
    </w:p>
    <w:p>
      <w:pPr>
        <w:spacing w:after="120"/>
      </w:pPr>
      <w:r>
        <w:rPr>
          <w:rFonts w:ascii="Calibri" w:hAnsi="Calibri"/>
          <w:b/>
          <w:color w:val="6E8450"/>
          <w:sz w:val="18"/>
        </w:rPr>
        <w:t>DIVIDEND SLEEVE · 2026-08-31 · Inspire: 60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Office · NYSE · United States</w:t>
      </w:r>
    </w:p>
    <w:p>
      <w:pPr>
        <w:spacing w:after="80"/>
      </w:pPr>
      <w:r>
        <w:rPr>
          <w:rFonts w:ascii="Calibri" w:hAnsi="Calibri"/>
          <w:b w:val="0"/>
          <w:color w:val="3A4A28"/>
          <w:sz w:val="20"/>
        </w:rPr>
        <w:t>Brandywine Realty Trust owns, develops, leases and manages an urban, town center and transit-oriented portfolio comprising approximately 117 properties and 19.8 million square feet. The company focuses on markets in Philadelphia, Austin, and Washington, D.C. Founded in 1994 by CEO Gerard Sweeney, who has led the company for 32 years. BDN is actively deleveraging through a $305M asset sales program, with $208M closed in Q2 2026. Market cap ~$536M.</w:t>
      </w:r>
    </w:p>
    <w:p>
      <w:r>
        <w:rPr>
          <w:rFonts w:ascii="Calibri" w:hAnsi="Calibri"/>
          <w:b/>
          <w:color w:val="6E8450"/>
          <w:sz w:val="18"/>
        </w:rPr>
        <w:t>278 Employees · https://www.brandywinerealty.com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Brandywine has incrementally repositioned its portfolio toward urban, town center and transit-oriented properties, but no transformative business model pivot or product launch has occurred in the past five years [1][2]. The company has been a net seller of assets, with $208M in sales closed and a target raised to $305M in Q2 2026, reflecting portfolio contraction rather than innovation. Q2 2026 retention rate reached 85%, and speculative revenue midpoint guidance was raised 5.7% [2]. AI Deployment (0/2): No customer-facing AI products or quantified AI-driven savings; internal technology investments are standard enterprise IT. Market Share (0/2): Brandywine is one of many mid-cap office REITs in a structurally declining sector; core portfolio occupancy around 88-89% remains below pre-pandemic norms, and the company is shrinking its portfolio rather than gaining share [1]. Product Pipeline (0/2): No next-generation products or development pipeline with specific revenue visibility; strategic focus is on stabilizing occupancy and executing asset sales. R&amp;D Intensity (0/1): REITs do not invest in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Brandywine's stated core values are 'quality, integrity, innovation, and community,' with a vision of creating vibrant urban communities — clear but generic and interchangeable with nearly any commercial REIT [4]. The company articulates the 'Brandywine Difference' but this does not constitute a deeply distinctive purpose. Community Impact (1/2): Brandywine earned an MSCI ESG 'A' rating, ISS Governance Quality Score of 1 (highest possible), seventh consecutive GRESB Green Star ranking, and first 5-Star ranking, reflecting genuine environmental commitment [3]. The company participates in the Philadelphia 2030 District energy partnership and has exceeded its 15% reduction targets for energy, GHG, and water use (achieving 25% reduction on energy and water, 23.9% on GHG). However, no specific dollar amounts for charitable giving or distinctive community programs beyond ESG metrics were identified. Employee Retention (0/2): No public data on employee turnover or tenure for the 278-person workforce. Insider Buying (0/2): No evidence of meaningful net insider buying by executives in the past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severe weakness across nearly all dimensions. Q2 2026 revenue of $122.7M beat estimates of $110.45M, and full-year FFO guidance was maintained at $0.55/share midpoint [2]. Debt-to-equity of 379% is well above the 300% floor, scoring zero on leverage [5]. ROE of -18.12% and GAAP profit margin of -31.53% (including non-cash impairment charges typical of REITs in secular decline) both score zero [5]. Revenue has declined as asset sales reduce the portfolio. The only meaningful positive contributors are the 30+ year consecutive dividend payment history (scoring full marks at 2x weight) and the FFO-based payout ratio of approximately 58% ($0.32 annual dividend on $0.55 FFO). The 5-year dividend CAGR of -15.89% reflects serial cuts from $0.60/share to $0.32/share, heavily penalizing a 2x-weighted metric. Infrastructure calculation: D/E 379% (0.0, 1x), ROE -18.12% (0.0, 1x), Rev Growth YoY -5% (0.50, 1x), Rev Growth 5yr CAGR -3% (0.13, 1x), Fwd P/E N/A (excluded), Profit Margin -31.53% (0.0, 1x), Payout Ratio 58% (0.70, 1x), Consec Years Paid 30 (1.0, 2x), Consec Years Growth 0 (0.0, 1x), 5yr Div Growth CAGR -15.89% (0.0, 2x). Weighted sum = 3.33/11 × 10 = 3.0. Liquidity clears the floor: 1.78M avg volume × $3.06 = $5.4M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Brandywine Realty Trust operates with a predominantly finite mindset, focused on surviving the current office market downturn through asset sales and debt reduction rather than advancing a compelling long-term cause. CEO Gerard Sweeney's 32-year tenure since founding in 1994 provides exceptional leadership stability, and the company is making pragmatic portfolio-recycling decisions, but these are defensive moves driven by necessity rather than vision. The company lacks a Just Cause beyond shareholder returns, and strategic language centres on 'navigating challenges' and occupancy stabilization rather than building toward an inspiring future.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Brandywine exists to own, develop, and lease commercial real estate and return capital to shareholders. There is no articulated vision of a future state beyond profitability. The core values of 'quality, integrity, innovation, and community' are corporate boilerplate, not a Just Cause in Sinek's framework [4]. Strategic decisions — $305M in asset sales, debt reduction, occupancy stabilization — are driven by financial necessity, not purpose [1][2]. Sinek would identify this as a classic finite player optimizing for quarterly FFO rather than advancing a cause worth sacrificing for.</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Gerard Sweeney has led Brandywine since its founding in 1994, providing 32 years of leadership continuity that is exceptional in any industry [4]. The company describes its culture as 'empowering, respectful, and collaborative,' and the small 278-person organization suggests close-knit team dynamics. However, no specific data on employee turnover, average tenure, or psychological safety was available. The long-tenured founder-CEO and small team suggest adequate trust, but insufficient evidence prevents a higher score.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Brandywine's investor communications focus on defensive metrics — occupancy rates, debt reduction targets, speculative revenue achievements — rather than learning from competitors or using competitive pressure to improve [1][2]. The competitive narrative is about survival in a declining sector, not self-improvement through worthy rivalry.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Brandywine has made incremental strategic shifts, repositioning from suburban office parks toward urban, town centre and transit-oriented mixed-use developments in Philadelphia, Austin, and Washington, D.C. [4]. The $305 million portfolio recycling program and pivot toward mixed-use properties represent meaningful adaptation [1][2]. However, these moves are incremental responses to market reality, not transformative pivots. The company remains fundamentally an office REIT in a sector facing secular decline from remote work.</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Brandywine is pursuing the $305M asset sale program to deleverage while the market is weak, raising the target from $290M to $305M in Q2 and closing $208M [2]. Management has maintained realistic FFO guidance of $0.52-$0.58/share and is executing asset sales despite unfavorable pricing conditions. However, the courage is born of necessity rather than vision — the company is adapting to survive, not investing boldly in transformative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Brandywine Realty Trust reported Q2 2026 revenue of $122.7M (beating $110.45M estimate), maintained full-year FFO guidance at $0.55/share midpoint, and raised the speculative revenue midpoint by 5.7% [2]. The 85% Q2 retention rate prompted an increase in the full-year retention midpoint by 10%, and $208M in asset sales were closed with the total target raised to $305M. At $3.06 per share, BDN trades at 0.77x book value with a 10.46% dividend yield. CEO Sweeney's 32-year tenure provides continuity, the MSCI ESG 'A' rating and ISS Governance Score of 1 demonstrate institutional-quality governance, and the Inspire Impact Score of 60 (ALIGNED) is the strongest faith alignment in this batch [3][4].</w:t>
      </w:r>
    </w:p>
    <w:p>
      <w:pPr>
        <w:spacing w:after="120"/>
      </w:pPr>
      <w:r>
        <w:rPr>
          <w:rFonts w:ascii="Calibri" w:hAnsi="Calibri"/>
          <w:b w:val="0"/>
          <w:color w:val="3A4A28"/>
          <w:sz w:val="20"/>
        </w:rPr>
        <w:t>The bear case is dominant. Debt-to-equity of 379% reflects severe leverage, ROE of -18.12%, and GAAP profit margin of -31.53% demonstrate fundamental business deterioration driven by non-cash impairment charges on declining property values [5]. The dividend has been cut repeatedly — from $0.60/share to $0.32/share — with a 5-year dividend CAGR of -15.89%, and the 10.46% yield is a distress signal rather than a genuine income opportunity. Office demand faces permanent secular decline driven by AI-enabled remote and hybrid work, with analysts flagging AI-driven tenant shifts as requiring costly space overhauls that may not be recoverable through higher rents [3]. Revenue has declined approximately 15% over three years with the portfolio shrinking through asset sales. The $536M market cap against significant debt obligations creates refinancing risk if the office market does not stabilize. Even strong ESG credentials cannot offset the structural challenges facing the entire office REIT sector.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Completion of the $305M asset recycling program (85% already closed at $208M) could meaningfully reduce leverage from 379% D/E and demonstrate management's execution on the turnaround plan [2]</w:t>
      </w:r>
    </w:p>
    <w:p>
      <w:pPr>
        <w:spacing w:before="40" w:after="40"/>
        <w:ind w:left="283"/>
      </w:pPr>
      <w:r>
        <w:rPr>
          <w:rFonts w:ascii="Calibri" w:hAnsi="Calibri"/>
          <w:b/>
          <w:color w:val="4A6B25"/>
          <w:sz w:val="20"/>
        </w:rPr>
        <w:t xml:space="preserve">2. </w:t>
      </w:r>
      <w:r>
        <w:rPr>
          <w:rFonts w:ascii="Calibri" w:hAnsi="Calibri"/>
          <w:b w:val="0"/>
          <w:color w:val="3A4A28"/>
          <w:sz w:val="20"/>
        </w:rPr>
        <w:t>Q2 2026 retention rate of 85% and speculative revenue midpoint raised 5.7% suggest potential occupancy stabilization, with management expecting first positive net absorption in several years [2]</w:t>
      </w:r>
    </w:p>
    <w:p>
      <w:pPr>
        <w:spacing w:before="40" w:after="40"/>
        <w:ind w:left="283"/>
      </w:pPr>
      <w:r>
        <w:rPr>
          <w:rFonts w:ascii="Calibri" w:hAnsi="Calibri"/>
          <w:b/>
          <w:color w:val="4A6B25"/>
          <w:sz w:val="20"/>
        </w:rPr>
        <w:t xml:space="preserve">3. </w:t>
      </w:r>
      <w:r>
        <w:rPr>
          <w:rFonts w:ascii="Calibri" w:hAnsi="Calibri"/>
          <w:b w:val="0"/>
          <w:color w:val="3A4A28"/>
          <w:sz w:val="20"/>
        </w:rPr>
        <w:t>Federal Reserve interest rate cuts in 2026 would reduce financing costs and potentially attract yield-seeking capital back to beaten-down REIT stocks trading below book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remote work tools continue to reduce corporate demand for office space, with analysts warning of AI-driven tenant shifts requiring costly space overhauls and specialized layouts that may not be recoverable through rents — pushing occupancy further below pre-pandemic norms [3]</w:t>
      </w:r>
    </w:p>
    <w:p>
      <w:pPr>
        <w:spacing w:before="40" w:after="40"/>
        <w:ind w:left="283"/>
      </w:pPr>
      <w:r>
        <w:rPr>
          <w:rFonts w:ascii="Calibri" w:hAnsi="Calibri"/>
          <w:b/>
          <w:color w:val="4A6B25"/>
          <w:sz w:val="20"/>
        </w:rPr>
        <w:t xml:space="preserve">2. </w:t>
      </w:r>
      <w:r>
        <w:rPr>
          <w:rFonts w:ascii="Calibri" w:hAnsi="Calibri"/>
          <w:b w:val="0"/>
          <w:color w:val="3A4A28"/>
          <w:sz w:val="20"/>
        </w:rPr>
        <w:t>Debt-to-equity of 379% with revenue declining from asset sales creates refinancing risk — the company must execute the remaining ~$97M in asset sales while managing $3.13B in enterprise value against only $536M market cap [5]</w:t>
      </w:r>
    </w:p>
    <w:p>
      <w:pPr>
        <w:spacing w:before="40" w:after="40"/>
        <w:ind w:left="283"/>
      </w:pPr>
      <w:r>
        <w:rPr>
          <w:rFonts w:ascii="Calibri" w:hAnsi="Calibri"/>
          <w:b/>
          <w:color w:val="4A6B25"/>
          <w:sz w:val="20"/>
        </w:rPr>
        <w:t xml:space="preserve">3. </w:t>
      </w:r>
      <w:r>
        <w:rPr>
          <w:rFonts w:ascii="Calibri" w:hAnsi="Calibri"/>
          <w:b w:val="0"/>
          <w:color w:val="3A4A28"/>
          <w:sz w:val="20"/>
        </w:rPr>
        <w:t>Continued dividend cuts from the already-reduced $0.32 annual rate would eliminate the primary remaining thesis for holding the stock; the -15.89% 5-year dividend CAGR signals ongoing distribution erosion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Brandywine's core business — owning and leasing physical office buildings — cannot be directly substituted by AI; buildings require physical maintenance, development, and management that software cannot replicate. However, AI-enabled remote work tools and AI-powered productivity agents have fundamentally reduced corporate demand for office space, creating a structural headwind that is accelerating [1]. Analysts flag AI-driven tenant shifts and costly space overhauls as specific risks: rising demands for power-intensive computing, specialized layouts, and upgraded building systems could require significant capital outlays not fully recoverable through rents [3]. Brandywine's 88% occupancy rate, down from pre-pandemic norms above 93%, directly reflects this AI-adjacent disruption. The company's transit-oriented mixed-use positioning provides partial insulation but does not eliminate the secular demand risk. AI Opportunity (0/1): Brandywine generates no revenue from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Brandywine Realty Trust Q1 2026 Earnings Release — FFO $0.11/share, 268K sq ft leased, $305M sales under agreement, April 2026</w:t>
      </w:r>
    </w:p>
    <w:p>
      <w:pPr>
        <w:spacing w:before="20" w:after="20"/>
        <w:ind w:left="170"/>
      </w:pPr>
      <w:r>
        <w:rPr>
          <w:rFonts w:ascii="Calibri" w:hAnsi="Calibri"/>
          <w:b/>
          <w:color w:val="4A6B25"/>
          <w:sz w:val="15"/>
        </w:rPr>
        <w:t xml:space="preserve">2. </w:t>
      </w:r>
      <w:r>
        <w:rPr>
          <w:rFonts w:ascii="Calibri" w:hAnsi="Calibri"/>
          <w:b w:val="0"/>
          <w:color w:val="3A4A28"/>
          <w:sz w:val="17"/>
        </w:rPr>
        <w:t>Brandywine Realty Trust Q2 2026 Earnings Release — Revenue $122.7M (beat $110.45M), FFO guidance maintained at $0.55 midpoint, $208M asset sales closed, retention 85%, July 2026</w:t>
      </w:r>
    </w:p>
    <w:p>
      <w:pPr>
        <w:spacing w:before="20" w:after="20"/>
        <w:ind w:left="170"/>
      </w:pPr>
      <w:r>
        <w:rPr>
          <w:rFonts w:ascii="Calibri" w:hAnsi="Calibri"/>
          <w:b/>
          <w:color w:val="4A6B25"/>
          <w:sz w:val="15"/>
        </w:rPr>
        <w:t xml:space="preserve">3. </w:t>
      </w:r>
      <w:r>
        <w:rPr>
          <w:rFonts w:ascii="Calibri" w:hAnsi="Calibri"/>
          <w:b w:val="0"/>
          <w:color w:val="3A4A28"/>
          <w:sz w:val="17"/>
        </w:rPr>
        <w:t>Brandywine Realty Trust ESG and AI Risk — MSCI 'A' rating, ISS Governance Score 1, GRESB 5-Star, AI-driven tenant shift risks flagged by analysts, 2024-2026</w:t>
      </w:r>
    </w:p>
    <w:p>
      <w:pPr>
        <w:spacing w:before="20" w:after="20"/>
        <w:ind w:left="170"/>
      </w:pPr>
      <w:r>
        <w:rPr>
          <w:rFonts w:ascii="Calibri" w:hAnsi="Calibri"/>
          <w:b/>
          <w:color w:val="4A6B25"/>
          <w:sz w:val="15"/>
        </w:rPr>
        <w:t xml:space="preserve">4. </w:t>
      </w:r>
      <w:r>
        <w:rPr>
          <w:rFonts w:ascii="Calibri" w:hAnsi="Calibri"/>
          <w:b w:val="0"/>
          <w:color w:val="3A4A28"/>
          <w:sz w:val="17"/>
        </w:rPr>
        <w:t>Brandywine Realty Trust About Us and Core Values — 'Quality, Integrity, Innovation, Community,' CEO Gerard Sweeney since 1994, brandywinerealty.com</w:t>
      </w:r>
    </w:p>
    <w:p>
      <w:pPr>
        <w:spacing w:before="20" w:after="20"/>
        <w:ind w:left="170"/>
      </w:pPr>
      <w:r>
        <w:rPr>
          <w:rFonts w:ascii="Calibri" w:hAnsi="Calibri"/>
          <w:b/>
          <w:color w:val="4A6B25"/>
          <w:sz w:val="15"/>
        </w:rPr>
        <w:t xml:space="preserve">5. </w:t>
      </w:r>
      <w:r>
        <w:rPr>
          <w:rFonts w:ascii="Calibri" w:hAnsi="Calibri"/>
          <w:b w:val="0"/>
          <w:color w:val="3A4A28"/>
          <w:sz w:val="17"/>
        </w:rPr>
        <w:t>StockAnalysis / Yahoo Finance — BDN Key Statistics: D/E 379%, ROE -18.12%, Profit Margin -31.53%, Stock Price $3.06,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