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BDX</w:t>
      </w:r>
      <w:r>
        <w:rPr>
          <w:rFonts w:ascii="Calibri" w:hAnsi="Calibri"/>
          <w:b/>
          <w:color w:val="1A2010"/>
          <w:sz w:val="40"/>
        </w:rPr>
        <w:t xml:space="preserve">  Becton, Dickinson and Company</w:t>
      </w:r>
    </w:p>
    <w:p>
      <w:pPr>
        <w:spacing w:after="120"/>
      </w:pPr>
      <w:r>
        <w:rPr>
          <w:rFonts w:ascii="Calibri" w:hAnsi="Calibri"/>
          <w:b/>
          <w:color w:val="6E8450"/>
          <w:sz w:val="18"/>
        </w:rPr>
        <w:t>DIVIDEND SLEEVE · 2026-09-04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NYSE · United States</w:t>
      </w:r>
    </w:p>
    <w:p>
      <w:pPr>
        <w:spacing w:after="80"/>
      </w:pPr>
      <w:r>
        <w:rPr>
          <w:rFonts w:ascii="Calibri" w:hAnsi="Calibri"/>
          <w:b w:val="0"/>
          <w:color w:val="3A4A28"/>
          <w:sz w:val="20"/>
        </w:rPr>
        <w:t>Becton, Dickinson and Company (BD) is a global medical technology company that manufactures and sells medical devices, instrument systems, and reagents. Operating through BD Medical, BD Life Sciences, and BD Interventional segments, the company produces syringes, blood collection systems, medication management solutions, diagnostic instruments, and surgical products. BD completed the $4.2B acquisition of Edwards Lifesciences' Critical Care product group in September 2024, adding AI-enabled clinical monitoring solutions. Q3 FY2026 revenue of $5.0B grew 4.4% FX-neutral with raised full-year EPS guidance of $12.62-12.72. Founded in 1897, headquartered in Franklin Lakes, New Jersey.</w:t>
      </w:r>
    </w:p>
    <w:p>
      <w:r>
        <w:rPr>
          <w:rFonts w:ascii="Calibri" w:hAnsi="Calibri"/>
          <w:b/>
          <w:color w:val="6E8450"/>
          <w:sz w:val="18"/>
        </w:rPr>
        <w:t>75,000 Employees · https://www.bd.com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BD completed the transformative $4.2B Edwards Lifesciences Critical Care acquisition in September 2024, creating BD Advanced Patient Monitoring with AI-enabled clinical decision support [2]. The Alaris infusion pump received full FDA clearance after years of regulatory remediation. Q3 FY2026 showed accelerating segment growth: Interventional +5.5%, BioPharma Systems +5.2%, Connected Care +4.4% [1]. AI Deployment (1/2): BD Advanced Patient Monitoring includes AI algorithms that predict hemodynamic instability and suggest precise fluid or medication adjustments — shipping to hospitals and generating revenue as part of connected care solutions [2][3]. BD has established a cross-functional AI governance council for systematic enterprise AI deployment. Market Share (2/2): BD holds dominant global market share in blood collection (BD Vacutainer), syringes and needles, medication management (BD Alaris), and pre-analytical specimen processing — category leadership maintained for decades across essential medical supplies [1]. Product Pipeline (1/2): BD 2030 'Unleash Excellence' strategy targets digital health, smart devices, and advanced analytics with specific product roadmaps around connected care, laboratory automation (BD COR, BD Kiestra), and closed-loop infusion systems [3]. R&amp;D Intensity (0/1): R&amp;D spending is approximately 5-6% of revenue, at industry average for medical devices rather than top quartile.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BD's purpose — 'Advancing the world of health' — has been validated by 129 years of consistent execution since 1897, surviving world wars, technology transitions, and leadership changes [3]. The company pioneered glass syringes and blood collection technology and has consistently invested in healthcare infrastructure. The purpose is specific, thoughtful, and clearly shapes strategic decisions across decades. Community Impact (1/2): BD has community health programs including injection safety initiatives in developing countries, the BD Foundation, and sustainability commitments under 'Together We Advance' ESG initiative with reported GHG emission reductions and expanded renewable energy usage [4]. Employee Retention (0/2): BD employs approximately 75,000 globally with stable leadership, and is modernizing talent strategy with AI, but no specific tenure data, voluntary turnover rates, or retention metrics distinguish it from peers [3]. Insider Buying (0/2): No evidence of meaningful net insider buying by CEO Tom Polen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comprehensive financial metrics. Q3 FY2026 delivered $5.0B revenue with 4.4% FX-neutral growth (accelerating from Q2's 2.6%), adjusted EPS of $3.23 up 4.9% YoY, and management raised full-year EPS guidance to $12.62-12.72 [1]. YTD free cash flow surged 45% to $1.7B. Forward P/E of 13.83 remains well below the 20 target (score 1.0). D/E improved to 69%, essentially at the 70% target (score 1.0). Revenue growth of 4.4% YoY scores 0.81, with 5yr CAGR estimated at 5.7% (score 0.71). Adjusted operating margin of 24.9% is strong but GAAP profit margin of 4.19% is compressed by acquisition-related amortization (score 0.21). ROE of 6.61% reflects elevated goodwill/intangibles (score 0.44). Dividend Aristocrat with 54 consecutive years of increases (score 1.0 at 2x weight), estimated payout ratio ~70% (score 0.50), and 5yr dividend growth CAGR of 5.33% (score 0.89 at 2x weight) [5]. Daily dollar volume ~$640M provides exceptional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BD is one of the oldest continuously operating healthcare companies globally (founded 1897), and its 129-year commitment to advancing health represents a validated Just Cause few companies can match. The company has endured through world wars, technology transitions, and industry consolidation. Under CEO Tom Polen, the BD 2030 'Unleash Excellence' strategy and accelerating Q3 growth (4.4% FX-neutral) demonstrate execution discipline. However, the emphasis on M&amp;A-driven financial engineering and operational efficiency reflects more finite orientation than the company's legacy suggests.</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BD's purpose of 'Advancing the world of health' has been validated by 129 years of consistent execution since 1897 — from pioneering glass syringes to blood collection systems to modern AI-enabled connected care [3]. The purpose survived world wars, the Great Depression, multiple CEO transitions, and technology disruptions. Strategic decisions — the Embecta spin-off, Edwards Critical Care acquisition, BD 2030 strategy — clearly trace back to advancing healthcare delivery. Sinek would cite BD's longevity and consistency of purpose as evidence of a genuine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BD's 75,000-person global workforce operates under CEO Polen's stable leadership since 2020, and the company is modernizing talent strategy with AI-powered tools [3]. The resolution of the multi-year Alaris pump FDA regulatory process demonstrated organizational persistence and cross-functional collaboration. However, no specific evidence of exceptional trust culture, employee empowerment practices, or above-average retention was found to distinguish BD from typical large industrial organizations.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BD's competitive positioning emphasizes market leadership and dominant share in blood collection, medication delivery, and diagnostics rather than acknowledging competitors' strengths as motivation for improvement [1][3]. No evidence was found of management referencing learning from rivals like Abbott, Medtronic, or Siemens Healthineers.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BD has incrementally evolved over 129 years — from glass syringes to disposable plastics to automated lab systems to AI-enabled connected care — and executed strategic portfolio reshaping through the Embecta diabetes spin-off (2022) and $4.2B Edwards Critical Care acquisition (2024) [2]. These are meaningful strategic moves but represent incremental evolution rather than the transformative flexibility Sinek describes. BD has never abandoned a core business in the dramatic fashion of Apple or NVDA.</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Polen demonstrated courage pursuing the $4.2B Edwards Critical Care acquisition to pivot toward AI-enabled connected care, and in persisting through years of Alaris infusion pump FDA remediation rather than abandoning the product line [2][3]. Q3 FY2026 guidance raise to $12.62-12.72 reflects confidence despite tariff headwinds. However, the elevated debt load and compressed GAAP margins suggest financial engineering may have taken priority over organic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BD offers a compelling combination of defensive healthcare positioning, dividend reliability, and accelerating operational momentum at a reasonable valuation. Q3 FY2026 revenue of $5.0B grew 4.4% FX-neutral (accelerating from Q2's 2.6%), with all four segments delivering solid growth led by Interventional +5.5% and BioPharma Systems +5.2% [1]. Management raised full-year adjusted EPS guidance to $12.62-12.72, and YTD free cash flow surged 45% to $1.7B, demonstrating improving cash conversion. At forward P/E of 13.83x with a 2.29% dividend yield backed by 54 consecutive years of increases, BDX trades at a significant discount to medtech peers [5]. The Edwards Critical Care acquisition adds AI-enabled clinical monitoring to BD's dominant positions in blood collection, medication management, and diagnostics, creating a connected care platform with long-term cross-selling potential [2].</w:t>
      </w:r>
    </w:p>
    <w:p>
      <w:pPr>
        <w:spacing w:after="120"/>
      </w:pPr>
      <w:r>
        <w:rPr>
          <w:rFonts w:ascii="Calibri" w:hAnsi="Calibri"/>
          <w:b w:val="0"/>
          <w:color w:val="3A4A28"/>
          <w:sz w:val="20"/>
        </w:rPr>
        <w:t>The bear case centers on margin compression and M&amp;A integration risk. GAAP profit margin of 4.19% (vs 24.9% adjusted operating margin) reflects heavy acquisition-related amortization, and ROE of 6.61% is well below the 15% target — indicating the M&amp;A-heavy strategy has not yet translated into adequate shareholder returns [5]. Tariff headwinds reduced adjusted operating margin to 24.9% in Q3, and management continues to invest heavily in commercial and R&amp;D capabilities [1]. Total debt remains elevated from the Edwards acquisition, with D/E at 69%. The GAAP trailing PE of 53x is misleading (driven by amortization-depressed earnings), but the gap between adjusted and GAAP earnings highlights the quality-of-earnings question for acquisitive medtech companies. Revenue growth of 4.4%, while accelerating, remains below the high-single-digit rates of premium medtech peers. Legacy surgical mesh litigation remains an unquantified tail risk. The Inspire Impact Score of -75 (MISALIGNED) due to Embryonic Stem Cells and LGBT Activism attributions creates alignment concerns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FY2026 revenue acceleration to 4.4% FX-neutral growth with raised EPS guidance to $12.62-12.72 and 45% YTD FCF growth demonstrates improving execution trajectory and potential for further re-rating [1]</w:t>
      </w:r>
    </w:p>
    <w:p>
      <w:pPr>
        <w:spacing w:before="40" w:after="40"/>
        <w:ind w:left="283"/>
      </w:pPr>
      <w:r>
        <w:rPr>
          <w:rFonts w:ascii="Calibri" w:hAnsi="Calibri"/>
          <w:b/>
          <w:color w:val="4A6B25"/>
          <w:sz w:val="20"/>
        </w:rPr>
        <w:t xml:space="preserve">2. </w:t>
      </w:r>
      <w:r>
        <w:rPr>
          <w:rFonts w:ascii="Calibri" w:hAnsi="Calibri"/>
          <w:b w:val="0"/>
          <w:color w:val="3A4A28"/>
          <w:sz w:val="20"/>
        </w:rPr>
        <w:t>BD Advanced Patient Monitoring cross-selling into 40,000+ hospital customer base as AI-enabled connected care solutions expand, potentially accelerating organic growth above mid-single-digit rates [2][3]</w:t>
      </w:r>
    </w:p>
    <w:p>
      <w:pPr>
        <w:spacing w:before="40" w:after="40"/>
        <w:ind w:left="283"/>
      </w:pPr>
      <w:r>
        <w:rPr>
          <w:rFonts w:ascii="Calibri" w:hAnsi="Calibri"/>
          <w:b/>
          <w:color w:val="4A6B25"/>
          <w:sz w:val="20"/>
        </w:rPr>
        <w:t xml:space="preserve">3. </w:t>
      </w:r>
      <w:r>
        <w:rPr>
          <w:rFonts w:ascii="Calibri" w:hAnsi="Calibri"/>
          <w:b w:val="0"/>
          <w:color w:val="3A4A28"/>
          <w:sz w:val="20"/>
        </w:rPr>
        <w:t>54-year dividend increase streak and improving free cash flow support potential for accelerated dividend growth and buyback activity as integration costs normalize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 margin of 4.19% and ROE of 6.61% are severely compressed by acquisition-related amortization, masking underlying profitability but raising quality-of-earnings questions and limiting reported returns [5]</w:t>
      </w:r>
    </w:p>
    <w:p>
      <w:pPr>
        <w:spacing w:before="40" w:after="40"/>
        <w:ind w:left="283"/>
      </w:pPr>
      <w:r>
        <w:rPr>
          <w:rFonts w:ascii="Calibri" w:hAnsi="Calibri"/>
          <w:b/>
          <w:color w:val="4A6B25"/>
          <w:sz w:val="20"/>
        </w:rPr>
        <w:t xml:space="preserve">2. </w:t>
      </w:r>
      <w:r>
        <w:rPr>
          <w:rFonts w:ascii="Calibri" w:hAnsi="Calibri"/>
          <w:b w:val="0"/>
          <w:color w:val="3A4A28"/>
          <w:sz w:val="20"/>
        </w:rPr>
        <w:t>Tariff exposure reduced Q3 adjusted operating margin to 24.9% despite revenue acceleration, and escalating trade tensions could further compress margins given BD's global manufacturing footprint [1]</w:t>
      </w:r>
    </w:p>
    <w:p>
      <w:pPr>
        <w:spacing w:before="40" w:after="40"/>
        <w:ind w:left="283"/>
      </w:pPr>
      <w:r>
        <w:rPr>
          <w:rFonts w:ascii="Calibri" w:hAnsi="Calibri"/>
          <w:b/>
          <w:color w:val="4A6B25"/>
          <w:sz w:val="20"/>
        </w:rPr>
        <w:t xml:space="preserve">3. </w:t>
      </w:r>
      <w:r>
        <w:rPr>
          <w:rFonts w:ascii="Calibri" w:hAnsi="Calibri"/>
          <w:b w:val="0"/>
          <w:color w:val="3A4A28"/>
          <w:sz w:val="20"/>
        </w:rPr>
        <w:t>Revenue growth of 4.4% FX-neutral, while accelerating, remains below high-single-digit rates of premium medtech peers, limiting potential for P/E expansion beyond the current 13.83x forward multiple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BD's core business of manufacturing physical medical devices — syringes, blood collection tubes, infusion pumps, diagnostic instruments, and surgical products — is structurally immune to AI disruption [1]. Hospitals require physical consumables and instruments that AI cannot substitute, and the company's products involve FDA-regulated manufacturing, complex supply chains, and installed base dependencies creating deep moats. AI is actually a demand driver: AI-powered healthcare expansion requires more diagnostic testing, medication delivery, and patient monitoring infrastructure, directly benefiting BD's product portfolio. The Edwards Critical Care acquisition positions BD as a direct beneficiary of AI in healthcare [2][3]. AI Opportunity (1/1): BD Advanced Patient Monitoring generates revenue from AI algorithm clinical decision support tools deployed in hospitals, including hemodynamic monitoring with predictive analytics for patient deterioration. BD's cross-functional AI governance council is systematically scaling AI deployment across the enterprise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BD Q3 FY2026 Earnings Release — revenue $5.0B, 4.4% FX-neutral growth, adj EPS $3.23, raised guidance to $12.62-12.72, YTD FCF $1.7B, August 2026</w:t>
      </w:r>
    </w:p>
    <w:p>
      <w:pPr>
        <w:spacing w:before="20" w:after="20"/>
        <w:ind w:left="170"/>
      </w:pPr>
      <w:r>
        <w:rPr>
          <w:rFonts w:ascii="Calibri" w:hAnsi="Calibri"/>
          <w:b/>
          <w:color w:val="4A6B25"/>
          <w:sz w:val="15"/>
        </w:rPr>
        <w:t xml:space="preserve">2. </w:t>
      </w:r>
      <w:r>
        <w:rPr>
          <w:rFonts w:ascii="Calibri" w:hAnsi="Calibri"/>
          <w:b w:val="0"/>
          <w:color w:val="3A4A28"/>
          <w:sz w:val="17"/>
        </w:rPr>
        <w:t>BD Edwards Lifesciences Critical Care Acquisition — $4.2B, AI-enabled monitoring and Advanced Patient Monitoring, September 2024</w:t>
      </w:r>
    </w:p>
    <w:p>
      <w:pPr>
        <w:spacing w:before="20" w:after="20"/>
        <w:ind w:left="170"/>
      </w:pPr>
      <w:r>
        <w:rPr>
          <w:rFonts w:ascii="Calibri" w:hAnsi="Calibri"/>
          <w:b/>
          <w:color w:val="4A6B25"/>
          <w:sz w:val="15"/>
        </w:rPr>
        <w:t xml:space="preserve">3. </w:t>
      </w:r>
      <w:r>
        <w:rPr>
          <w:rFonts w:ascii="Calibri" w:hAnsi="Calibri"/>
          <w:b w:val="0"/>
          <w:color w:val="3A4A28"/>
          <w:sz w:val="17"/>
        </w:rPr>
        <w:t>BD AI Innovation Strategy, CEO Tom Polen Leadership, and Talent Modernization — FinancialContent, Cielo Events, 2026</w:t>
      </w:r>
    </w:p>
    <w:p>
      <w:pPr>
        <w:spacing w:before="20" w:after="20"/>
        <w:ind w:left="170"/>
      </w:pPr>
      <w:r>
        <w:rPr>
          <w:rFonts w:ascii="Calibri" w:hAnsi="Calibri"/>
          <w:b/>
          <w:color w:val="4A6B25"/>
          <w:sz w:val="15"/>
        </w:rPr>
        <w:t xml:space="preserve">4. </w:t>
      </w:r>
      <w:r>
        <w:rPr>
          <w:rFonts w:ascii="Calibri" w:hAnsi="Calibri"/>
          <w:b w:val="0"/>
          <w:color w:val="3A4A28"/>
          <w:sz w:val="17"/>
        </w:rPr>
        <w:t>BD 'Together We Advance' ESG Reports — GHG reductions, community health programs, sustainability commitments, 2022-2026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Yahoo Finance — BDX key statistics, Forward PE 13.83, D/E 69%, ROE 6.61%,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