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BEKE</w:t>
      </w:r>
      <w:r>
        <w:rPr>
          <w:rFonts w:ascii="Calibri" w:hAnsi="Calibri"/>
          <w:b/>
          <w:color w:val="1A2010"/>
          <w:sz w:val="40"/>
        </w:rPr>
        <w:t xml:space="preserve">  KE Holdings Inc.</w:t>
      </w:r>
    </w:p>
    <w:p>
      <w:pPr>
        <w:spacing w:after="120"/>
      </w:pPr>
      <w:r>
        <w:rPr>
          <w:rFonts w:ascii="Calibri" w:hAnsi="Calibri"/>
          <w:b/>
          <w:color w:val="6E8450"/>
          <w:sz w:val="18"/>
        </w:rPr>
        <w:t>GROWTH SLEEVE · 2026-10-17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NYSE · China</w:t>
      </w:r>
    </w:p>
    <w:p>
      <w:pPr>
        <w:spacing w:after="80"/>
      </w:pPr>
      <w:r>
        <w:rPr>
          <w:rFonts w:ascii="Calibri" w:hAnsi="Calibri"/>
          <w:b w:val="0"/>
          <w:color w:val="3A4A28"/>
          <w:sz w:val="20"/>
        </w:rPr>
        <w:t>KE Holdings Inc. (Beike) is China's largest integrated online and offline platform for housing transactions and services, operating through Lianjia (owned brokerage), Beike (open platform connecting agents and developers), and expanding home renovation/furnishing and rental services. Founded in 2001 by Zuo Hui, headquartered in Beijing, led by co-founder CEO Stanley Yongdong Peng. Q2 2026 revenue was RMB24.5B (-5.7% YoY) while net income doubled to RMB2.6B on cost optimization and margin improvement, with existing home GTV rising 8% YoY. FY2025 revenue RMB94.6B. Dual-listed on NYSE and HKEX.</w:t>
      </w:r>
    </w:p>
    <w:p>
      <w:r>
        <w:rPr>
          <w:rFonts w:ascii="Calibri" w:hAnsi="Calibri"/>
          <w:b/>
          <w:color w:val="6E8450"/>
          <w:sz w:val="18"/>
        </w:rPr>
        <w:t>107,409 Employees · https://bj.ke.com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KE Holdings executed a transformative platform pivot from Lianjia's traditional brokerage chain to the open Beike platform, fundamentally digitizing China's fragmented real estate market and onboarding competing brokerages onto its technology stack [3]. In the last five years, the company launched two significant new revenue streams — home renovation/furnishing services and home rental services — diversifying beyond pure transaction brokerage, though these businesses are maturing with revenue recognition adjustments impacting recent results [1][2]. AI Deployment (2/2): KE Holdings reports that AI agents now handle 60% of rental owner tasks and reduce business analysts' workload by 85%, representing specific, quantified efficiency gains from AI deployment [3]. The company has a three-pronged AI strategy targeting service, supply, and platform operations with in-house models, and partnered with Linkhome AI on next-generation 3D visualization tools for real estate [3]. Market Share (2/2): Beike is the dominant housing platform in China with Q2 2026 existing home GTV of RMB630B across 400+ cities and 45,000+ connected stores, maintaining clear category leadership in the world's largest residential real estate market by transaction volume [1]. Product Pipeline (1/2): Expansion of renovation/furnishing and rental services represents active product development, and deepening AI integration signals next-gen investment, but specific next-generation products with named launch dates and revenue visibility have not been detailed. R&amp;D Intensity (1/1): KE Holdings invests heavily in platform technology, AI, 3D virtual tours, and data infrastructure relative to real estate industry peers, consistent with its identity as a technology-driven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Beike's founding purpose — 'Admirable service, joyful living' — and founder Zuo Hui's insistence on bringing transparency, trust, and efficiency to China's notoriously opaque real estate market is specific, thoughtful, and deeply differentiated [3]. This mission genuinely shaped the risky strategic decision to open Lianjia's proprietary data and agent network to competitors via the Beike platform. However, Zuo Hui passed away in May 2021, and while co-founder CEO Peng Yongdong continues the vision, the cause has not yet been tested through a major crisis under the current leadership regime. Community Impact (1/2): KE Holdings earned MSCI ESG rating upgrades and incorporated ESG metrics into executive performance appraisals with climate-related targets, targeting carbon neutrality in own operations by 2030 [4]. No specific charitable programs with dollar amounts were identified. Employee Retention (0/2): With 107,409 employees, no specific retention, tenure, or voluntary turnover data was publicly available. The China real estate labor market has structurally high agent turnover across the industry. Insider Buying (0/2): No evidence of meaningful net insider buying by executives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all core metrics. KE Holdings benefits from an exceptionally clean balance sheet with D/E of just 21.9% (score 1.0) with RMB47B in cash exceeding RMB14.4B in total debt [4]. Forward P/E of 14.3x (score 1.0) and PEG of 0.42 (score 1.0, 2x weight) provide attractive Growth-stock valuation. ROE of 7.01% scores 0.47 (2x weight), below the 15% target but reflecting the capital-intensive nature of China's real estate platform business. Revenue growth is negative near-term at -5.7% QoQ YoY (score 0.48) due to revenue recognition changes in rental/renovation services, though existing home GTV rose 8% YoY [1]. The 5-year revenue CAGR of approximately 5% scores 0.67 (2x weight), reflecting the volatile China property cycle. Profit margin of 5.32% scores 0.27, thin for a technology platform. Daily dollar volume of ~$81M provides ample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KE Holdings embodies a genuine founding cause — transforming China's chaotic real estate market through transparency and technology — that drove the courageous pivot from Lianjia's traditional brokerage model to the open Beike platform. Founder Zuo Hui's 'truthful communication' culture was a principled stand against an industry built on information asymmetry, and the platform model of inviting competitors onto shared infrastructure reflects infinite-game thinking. Under co-founder CEO Peng Yongdong, the company has demonstrated existential flexibility through business line diversification and pragmatic adaptation to the property downturn, with net income doubling in Q2 2026 despite revenue decline.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Beike's founding cause — bringing transparency, trust, and digitization to China's fragmented and fraud-prone real estate market — is genuine, distinctive, and has shaped strategic decisions for over two decades [3]. Zuo Hui's insistence on 'truthful communication' was a radical departure from industry norms and directly led to the creation of the open Beike platform, which invited competing brokerages onto shared infrastructure, sacrificing Lianjia's proprietary advantage for broader market transparency. The cause is more than marketing — it drove product and strategic decisions. However, the cause has not been fully tested through a major crisis under current post-founder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KE Holdings maintains a workforce of 107,409 employees with ESG metrics incorporated into executive compensation, suggesting organizational alignment [4]. The founding culture of transparency and truthful communication extends internally, and co-founder leadership provides continuity from the original vision. However, no specific data on employee retention, voluntary turnover, or cultural sentiment was publicly available, and the China real estate labor market has structurally high agent turnover across the industry.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KE Holdings' open platform model inherently acknowledges that competitor agents' participation strengthens the ecosystem — inviting Fang Holdings, 58.com, and local brokerages onto the Beike platform reflects an infinite competitive mindset that values industry improvement over rival destruction [3]. The focus on service quality standards and agent professionalization across the platform, including for competitors' agents, demonstrates a competitive posture oriented toward raising the industry bar rather than predatory market capture.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KE Holdings executed a transformative business model pivot — abandoning the protective moat of Lianjia's traditional brokerage chain to build the open Beike platform that invited all brokerages, including competitors, onto shared technology infrastructure [3]. This was a genuinely existential bet: Lianjia was profitable and dominant, and opening the platform risked cannibalizing its competitive advantage. The subsequent expansion into home renovation, rental management, and furnishing services represents continued strategic evolution driven by the cause of comprehensive housing services rather than defensive diversification.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Lianjia-to-Beike platform pivot required genuine courage — opening proprietary listing data and agent networks to competing brokerages sacrificed short-term competitive advantage for long-term platform value [3]. More recently, the company accepted near-term revenue declines (Q1 -19%, Q2 -5.7% YoY) while prioritizing profitability optimization, with net income doubling in Q2 2026 and adjusted operating margin reaching a 3-year high of 14.6% [1]. However, the post-founder leadership's response to the property downturn has been primarily defensive (cost optimization, share buybacks) rather than bold transformative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 Holdings at $18.07 with a $19.8B market cap offers compelling value at 14.3x forward earnings with a PEG of 0.42 for China's dominant housing platform, which processed RMB888B in combined GTV in Q2 2026 with existing home transactions growing 8% YoY [1]. The profitability transformation is the key narrative — net income doubled in Q2 2026 to RMB2.6B with adjusted operating margin reaching a 3-year high of 14.6% and adjusted net margin of 13%, demonstrating structural operating leverage through cost optimization and AI-driven efficiency gains (60% of rental tasks automated) [1][3]. The fortress balance sheet with D/E of just 22% and RMB47B in cash exceeding total debt provides resilience through China's property cycle. KE Holdings' platform model with 45,000+ connected stores, 107K employees, and expanding home renovation/rental diversification creates structural moats from network effects.</w:t>
      </w:r>
    </w:p>
    <w:p>
      <w:pPr>
        <w:spacing w:after="120"/>
      </w:pPr>
      <w:r>
        <w:rPr>
          <w:rFonts w:ascii="Calibri" w:hAnsi="Calibri"/>
          <w:b w:val="0"/>
          <w:color w:val="3A4A28"/>
          <w:sz w:val="20"/>
        </w:rPr>
        <w:t>The fundamental risk is China's structural property market headwinds. Revenue declined 19% in Q1 and 5.7% in Q2 2026, and while management attributes this partly to revenue recognition changes in rental/renovation services, the pattern reflects underlying demand uncertainty in China's real estate market [1][2]. The 5-year revenue CAGR of approximately 5% reflects a property sector that may face secular decline as China's demographics shift (aging population, urbanization saturation). As a China-domiciled ADR, BEKE carries geopolitical and regulatory risk including potential delisting concerns and VIE structure vulnerability — a Muddy Waters short report in 2021 alleged inflated metrics, triggering a securities class action [4]. Profit margin of 5.32% is thin for a technology platform, and ROE of 7.01% indicates modest returns on equity. Founder Zuo Hui's 2021 death removed the visionary leader, and current leadership has demonstrated effective cost management but not yet proven it can drive the next phase of growth innovation. The Inspire Impact Score of 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with Q2 2026 net income doubling YoY to RMB2.6B and adjusted operating margin reaching 14.6% 3-year high, driven by AI-enabled efficiency gains and cost optimization that suggest structural margin improvement [1][3]</w:t>
      </w:r>
    </w:p>
    <w:p>
      <w:pPr>
        <w:spacing w:before="40" w:after="40"/>
        <w:ind w:left="283"/>
      </w:pPr>
      <w:r>
        <w:rPr>
          <w:rFonts w:ascii="Calibri" w:hAnsi="Calibri"/>
          <w:b/>
          <w:color w:val="4A6B25"/>
          <w:sz w:val="20"/>
        </w:rPr>
        <w:t xml:space="preserve">2. </w:t>
      </w:r>
      <w:r>
        <w:rPr>
          <w:rFonts w:ascii="Calibri" w:hAnsi="Calibri"/>
          <w:b w:val="0"/>
          <w:color w:val="3A4A28"/>
          <w:sz w:val="20"/>
        </w:rPr>
        <w:t>Existing home transaction GTV growth of 8% YoY in Q2 2026 signals improving secondary market activity, which could accelerate with continued Chinese government stimulus measures supporting property market stabilization [1]</w:t>
      </w:r>
    </w:p>
    <w:p>
      <w:pPr>
        <w:spacing w:before="40" w:after="40"/>
        <w:ind w:left="283"/>
      </w:pPr>
      <w:r>
        <w:rPr>
          <w:rFonts w:ascii="Calibri" w:hAnsi="Calibri"/>
          <w:b/>
          <w:color w:val="4A6B25"/>
          <w:sz w:val="20"/>
        </w:rPr>
        <w:t xml:space="preserve">3. </w:t>
      </w:r>
      <w:r>
        <w:rPr>
          <w:rFonts w:ascii="Calibri" w:hAnsi="Calibri"/>
          <w:b w:val="0"/>
          <w:color w:val="3A4A28"/>
          <w:sz w:val="20"/>
        </w:rPr>
        <w:t>AI-driven productivity transformation — three-pronged AI strategy with 60% of rental tasks automated and 85% analyst workload reduction positions BEKE to expand margins further even in a flat-revenue environment, with PEG of 0.42 reflecting unpriced earnings growth potential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property market secular decline as demographics shift — declining birth rates, aging population, and urbanization saturation could permanently reduce housing transaction volumes, compressing GTV even as the platform maintains market share [1]</w:t>
      </w:r>
    </w:p>
    <w:p>
      <w:pPr>
        <w:spacing w:before="40" w:after="40"/>
        <w:ind w:left="283"/>
      </w:pPr>
      <w:r>
        <w:rPr>
          <w:rFonts w:ascii="Calibri" w:hAnsi="Calibri"/>
          <w:b/>
          <w:color w:val="4A6B25"/>
          <w:sz w:val="20"/>
        </w:rPr>
        <w:t xml:space="preserve">2. </w:t>
      </w:r>
      <w:r>
        <w:rPr>
          <w:rFonts w:ascii="Calibri" w:hAnsi="Calibri"/>
          <w:b w:val="0"/>
          <w:color w:val="3A4A28"/>
          <w:sz w:val="20"/>
        </w:rPr>
        <w:t>ADR delisting and VIE structure risk — KE Holdings operates through a variable interest entity structure that could face regulatory challenge from either Chinese or U.S. authorities, with the 2021 Muddy Waters short report and securities class action highlighting governance concerns [4]</w:t>
      </w:r>
    </w:p>
    <w:p>
      <w:pPr>
        <w:spacing w:before="40" w:after="40"/>
        <w:ind w:left="283"/>
      </w:pPr>
      <w:r>
        <w:rPr>
          <w:rFonts w:ascii="Calibri" w:hAnsi="Calibri"/>
          <w:b/>
          <w:color w:val="4A6B25"/>
          <w:sz w:val="20"/>
        </w:rPr>
        <w:t xml:space="preserve">3. </w:t>
      </w:r>
      <w:r>
        <w:rPr>
          <w:rFonts w:ascii="Calibri" w:hAnsi="Calibri"/>
          <w:b w:val="0"/>
          <w:color w:val="3A4A28"/>
          <w:sz w:val="20"/>
        </w:rPr>
        <w:t>Revenue decline trajectory (Q1 -19%, Q2 -5.7% YoY) may reflect structural rather than temporary headwinds — if renovation and rental services fail to scale profitably, the revenue base could continue eroding while profit growth from cost-cutting reaches diminishing returns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KE Holdings' core business of facilitating physical real estate transactions involves property viewings, local market expertise, regulatory compliance (hukou systems, city-specific purchase restrictions), and deeply relationship-driven negotiations that AI cannot structurally replace [1]. The 45,000+ connected stores and agent network create a physical-world moat, and China's fragmented regulatory environment across 400+ cities creates complexity that automated systems cannot navigate. Home renovation and rental services similarly involve physical-world operations. AI tools can enhance agent productivity (virtual tours, automated matching, pricing analytics) but cannot substitute for the physical inspection, legal documentation, and trust-building required in high-value property transactions. However, AI-powered property search could gradually reduce agents needed per transaction, creating moderate efficiency pressure on commission revenue. AI Opportunity (0/1): While KE Holdings has achieved quantified AI efficiency gains (60% of rental tasks automated, 85% analyst workload reduction) and has a three-pronged AI strategy, these drive margin improvement rather than generating identifiable AI product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 Holdings Q2 2026 Earnings — Revenue RMB24.5B (-5.7% YoY), Net Income RMB2.6B (+100.8% YoY), Adj. Operating Margin 14.6%, Existing Home GTV RMB630B (+8%), August 2026</w:t>
      </w:r>
    </w:p>
    <w:p>
      <w:pPr>
        <w:spacing w:before="20" w:after="20"/>
        <w:ind w:left="170"/>
      </w:pPr>
      <w:r>
        <w:rPr>
          <w:rFonts w:ascii="Calibri" w:hAnsi="Calibri"/>
          <w:b/>
          <w:color w:val="4A6B25"/>
          <w:sz w:val="15"/>
        </w:rPr>
        <w:t xml:space="preserve">2. </w:t>
      </w:r>
      <w:r>
        <w:rPr>
          <w:rFonts w:ascii="Calibri" w:hAnsi="Calibri"/>
          <w:b w:val="0"/>
          <w:color w:val="3A4A28"/>
          <w:sz w:val="17"/>
        </w:rPr>
        <w:t>KE Holdings Q1 2026 Earnings — Revenue RMB18.9B (-19% YoY), Net Income RMB1.26B (+46.7% YoY), Gross Margin 24.1% (highest since Q2 2024), May 2026</w:t>
      </w:r>
    </w:p>
    <w:p>
      <w:pPr>
        <w:spacing w:before="20" w:after="20"/>
        <w:ind w:left="170"/>
      </w:pPr>
      <w:r>
        <w:rPr>
          <w:rFonts w:ascii="Calibri" w:hAnsi="Calibri"/>
          <w:b/>
          <w:color w:val="4A6B25"/>
          <w:sz w:val="15"/>
        </w:rPr>
        <w:t xml:space="preserve">3. </w:t>
      </w:r>
      <w:r>
        <w:rPr>
          <w:rFonts w:ascii="Calibri" w:hAnsi="Calibri"/>
          <w:b w:val="0"/>
          <w:color w:val="3A4A28"/>
          <w:sz w:val="17"/>
        </w:rPr>
        <w:t>KE Holdings AI Strategy and Leadership — CEO Stanley Yongdong Peng, Three-Pronged AI Strategy, AI Agents Handle 60% Rental Tasks, 85% Analyst Workload Reduction, Linkhome AI Partnership — Seeking Alpha, OnlineMarketplaces, 2025-2026</w:t>
      </w:r>
    </w:p>
    <w:p>
      <w:pPr>
        <w:spacing w:before="20" w:after="20"/>
        <w:ind w:left="170"/>
      </w:pPr>
      <w:r>
        <w:rPr>
          <w:rFonts w:ascii="Calibri" w:hAnsi="Calibri"/>
          <w:b/>
          <w:color w:val="4A6B25"/>
          <w:sz w:val="15"/>
        </w:rPr>
        <w:t xml:space="preserve">4. </w:t>
      </w:r>
      <w:r>
        <w:rPr>
          <w:rFonts w:ascii="Calibri" w:hAnsi="Calibri"/>
          <w:b w:val="0"/>
          <w:color w:val="3A4A28"/>
          <w:sz w:val="17"/>
        </w:rPr>
        <w:t>KE Holdings ESG and Governance — MSCI ESG Rating Upgrades, Carbon Neutrality Target 2030, Muddy Waters Short Report 2021, Sustainalytics Medium Risk — Various Sources,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