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BEN</w:t>
      </w:r>
      <w:r>
        <w:rPr>
          <w:rFonts w:ascii="Calibri" w:hAnsi="Calibri"/>
          <w:b/>
          <w:color w:val="1A2010"/>
          <w:sz w:val="40"/>
        </w:rPr>
        <w:t xml:space="preserve">  Franklin Templeton, Inc.</w:t>
      </w:r>
    </w:p>
    <w:p>
      <w:pPr>
        <w:spacing w:after="120"/>
      </w:pPr>
      <w:r>
        <w:rPr>
          <w:rFonts w:ascii="Calibri" w:hAnsi="Calibri"/>
          <w:b/>
          <w:color w:val="6E8450"/>
          <w:sz w:val="18"/>
        </w:rPr>
        <w:t>DIVIDEND SLEEVE · 2026-10-17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Franklin Templeton (formerly Franklin Resources) is a global investment management firm with approximately $1.8 trillion in AUM, offering mutual funds, ETFs, separately managed accounts, and alternative investments across public and private markets. Founded in 1947, named after Benjamin Franklin, headquartered in San Mateo, California. CEO Jenny Johnson represents third-generation family leadership with the Johnson family controlling ~42% voting power. Recent quarterly revenue of ~$2.36B (+14% YoY) with adjusted operating income up 35% YoY. The company recently appointed Deep Ratna Srivastav as Chief AI Officer and is rolling out agentic AI tools via Wand AI partnership.</w:t>
      </w:r>
    </w:p>
    <w:p>
      <w:r>
        <w:rPr>
          <w:rFonts w:ascii="Calibri" w:hAnsi="Calibri"/>
          <w:b/>
          <w:color w:val="6E8450"/>
          <w:sz w:val="18"/>
        </w:rPr>
        <w:t>10,100 Employees · https://www.franklintempleton.com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Franklin Templeton executed two significant acquisitions reshaping the firm — Legg Mason ($4.5B, 2020) and Putnam Investments (2024) — combined with successful expansion into private markets where FY2026 fundraising reached ~$40B, exceeding the original $25-30B target [1]. The firm was among the first asset managers to tokenize a money market fund on blockchain (Franklin OnChain on Stellar), representing a meaningful adjacent market innovation. These moves are significant but primarily acquisitive rather than organically transformative. AI Deployment (1/2): CEO Jenny Johnson appointed Deep Ratna Srivastav as Chief AI Officer and partnered with Wand AI to roll out agentic AI tools across global operations, targeting 2026 for wide-scale integration [2]. The firm invested in Transparently.AI for accounting fraud detection and uses AI internally for investment commentary and content quality. However, no AI-powered investment products generating quantified revenue or specific cost savings have been disclosed. Market Share (1/2): With record ~$1.8T AUM, Franklin Templeton is a top-10 global asset manager but ranks behind BlackRock ($11.5T+), Vanguard, and Fidelity — a large, meaningful player but not the category leader [1]. Product Pipeline (1/2): Record institutional pipeline and long-term inflows demonstrate strong product demand, with private markets and alternatives expanding the product suite. R&amp;D Intensity (0/1): As an asset management firm, technology spending is not publicly disclosed or comparable to technology sector peers, though the Chief AI Officer appointment signals above-average investment in technology for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Franklin Templeton's purpose reflects genuine intentionality as a firm explicitly named after Benjamin Franklin's principles of prudence, industry, and stewardship — differentiating it from peers through a founding philosophy validated by 79 years of family-led stewardship [2]. CEO Jenny Johnson represents third-generation leadership (Johnson family) with a multi-decade commitment to founding values uncommon among public companies. The mission connects investment management to broader principles of financial discipline and long-term stewardship, shaping the firm's identity beyond generic asset management. Community Impact (1/2): Published inaugural CSR report in 2021, committed to TCFD and NZAMI frameworks, and maintains sustainability leadership. However, no specific charitable programs or community investment dollar amounts were identified beyond standard corporate responsibility initiatives [3]. Employee Retention (0/2): With 10,100 employees, no specific retention, tenure, or voluntary turnover data demonstrating above-average employee loyalty was publicly available. Employee reviews cite both positive culture and concerns about layoffs following major acquisitions [2]. Insider Buying (0/2): The Johnson family controls approximately 42% of voting power, representing substantial insider alignment, but this reflects inherited position rather than recent net insider buying with specific dollar amounts.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all core metrics. D/E of 24.8% scores 1.0 (well below 70% target), and Forward P/E of 9.82 scores 1.0 (well below 20 target), with PEG of 0.39 indicating attractive valuation relative to earnings growth potential [4]. Revenue growth YoY of 14.3% scores 1.0, reflecting accelerating momentum from record AUM and inflows [1]. The 5-year revenue CAGR of approximately 3% scores 0.53, reflecting sluggish organic growth despite major acquisitions. ROE of 7.89% scores 0.53, below the 15% target, and profit margin of 8.72% scores 0.44, reflecting the compressed margin profile of traditional active management. The dividend anchor is strong: 46 consecutive years paid (score 1.0, 2x weight) and 45 consecutive years of growth (score 1.0) provide maximum dividend history credit. The primary drag is payout ratio of 89.1% scoring only 0.18, consuming nearly all earnings, and modest 5yr dividend growth CAGR of ~2.6% (score 0.43, 2x weight). Daily dollar volume of ~$125M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Franklin Templeton under third-generation CEO Jenny Johnson embodies genuine long-term orientation — 79 years of family control, 46 consecutive years of dividend payments, and a founding identity rooted in Benjamin Franklin's principles of prudent stewardship. The company has demonstrated courage through bold acquisitions (Legg Mason during COVID, Putnam) and flexibility through strategic evolution into private markets, digital assets, and AI integration. Johnson's willingness to publicly acknowledge AI disruption risk reflects infinite-game intellectual honesty. However, the response to secular industry disruption has been primarily acquisitive rather than organically innovative, and the 89% payout ratio constrains investment in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Franklin Templeton's purpose of helping clients achieve better financial outcomes is distinctive when viewed through its 79-year family-controlled history — explicitly named after Benjamin Franklin's principles of prudence, industry, and stewardship, with the Johnson family's three-generation commitment validating the cause's durability [2]. The founding values have survived leadership transitions, market crises (2008 GFC, COVID), and industry disruption (passive investing revolution). However, the purpose has not been transformatively tested in the Sinek sense — the firm has adapted through acquisition rather than revolutionary reinvention.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Family-controlled governance with Jenny Johnson as third-generation CEO provides leadership stability uncommon in public companies [2]. The 10,100-employee firm has maintained organizational coherence through major integrations (Legg Mason, Putnam). However, employee reviews cite concerns about layoffs following acquisitions and cultural clashes during integration, suggesting organizational trust was disrupted by the acquisitive growth strategy. No specific retention or tenure data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Johnson's public commentary on AI disruption — warning that AI capabilities could disrupt investment management and enterprise software economics — demonstrates a mindset of learning from competitive threats rather than dismissing them [2]. The firm's active engagement with industry-reshaping trends (passive investing, AI, tokenization, digital assets) and willingness to publicly discuss competitors' advantages reflects an infinite-game competitive orientation focused on self-improvement rather than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Franklin Templeton has strategically evolved from a domestic equity mutual fund firm into a $1.8T global multi-asset platform through Legg Mason ($4.5B, 2020) and Putnam acquisitions, organic expansion into private markets (~$40B FY2026 fundraising), and pioneering blockchain tokenization (Franklin OnChain) [1]. The appointment of a Chief AI Officer and deployment of agentic AI tools represents continued strategic evolution. However, the transformation has been incremental and acquisitive rather than organically abandoning a core business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$4.5B Legg Mason acquisition during COVID-19 uncertainty demonstrated willingness to make a significant long-term bet when others were retreating [1]. Maintaining 46 consecutive years of dividend payments through multiple market crises required discipline. Early investment in blockchain tokenization and appointment of a Chief AI Officer show willingness to embrace disruptive technology. However, the payout ratio near 89% constrains reinvestment capacity and suggests prioritizing current distributions over transformative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Franklin Templeton at $30.98 with a $15.7B market cap trades at 9.82x forward earnings with a PEG of 0.39 and 4.26% dividend yield, offering deep value on a 79-year-old global asset manager with record ~$1.8T AUM [1][4]. Recent quarterly revenue of ~$2.36B grew 14% YoY with adjusted operating income up 35%, demonstrating accelerating margin expansion as Legg Mason and Putnam integration synergies materialize. The Johnson family's 42% voting control ensures long-term alignment, and private markets diversification (~$40B FY2026 fundraising exceeding the $25-30B target) provides higher-fee revenue streams offsetting active management fee compression. The appointment of a Chief AI Officer and deployment of agentic AI tools via Wand AI partnership position the firm to improve operational efficiency, while 46 consecutive years of dividend payments with 45 years of growth provide income reliability [2].</w:t>
      </w:r>
    </w:p>
    <w:p>
      <w:pPr>
        <w:spacing w:after="120"/>
      </w:pPr>
      <w:r>
        <w:rPr>
          <w:rFonts w:ascii="Calibri" w:hAnsi="Calibri"/>
          <w:b w:val="0"/>
          <w:color w:val="3A4A28"/>
          <w:sz w:val="20"/>
        </w:rPr>
        <w:t>The structural bear case centers on the secular decline of traditional active management — passive funds and ETFs continue capturing market share, compressing fees industry-wide and threatening Franklin Templeton's core revenue model. ROE of 7.89% remains well below financial services peers, suggesting inadequate returns on equity despite $1.8T AUM. Net income has declined from $1.29B (FY2022) to $525M (FY2025) even as revenue grew, indicating persistent margin pressure. The payout ratio of 89% consumes nearly all earnings, leaving minimal reinvestment capacity — the 5-year revenue CAGR of just 3% reflects a business that has barely grown organically despite massive acquisitions. CEO Johnson's own public warnings that AI could disrupt investment management acknowledge a risk the firm has not yet structurally addressed [2]. The stock's 10.5% decline from $34.62 to $30.98 since August 2026 may reflect market skepticism about the sustainability of recent margin expansion.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margin expansion toward 30% as Legg Mason/Putnam integration synergies fully materialize — adjusted operating income grew 35% YoY in Q3 FY2026, potentially re-rating the stock from 9.82x forward earnings toward higher-margin asset management peers [1]</w:t>
      </w:r>
    </w:p>
    <w:p>
      <w:pPr>
        <w:spacing w:before="40" w:after="40"/>
        <w:ind w:left="283"/>
      </w:pPr>
      <w:r>
        <w:rPr>
          <w:rFonts w:ascii="Calibri" w:hAnsi="Calibri"/>
          <w:b/>
          <w:color w:val="4A6B25"/>
          <w:sz w:val="20"/>
        </w:rPr>
        <w:t xml:space="preserve">2. </w:t>
      </w:r>
      <w:r>
        <w:rPr>
          <w:rFonts w:ascii="Calibri" w:hAnsi="Calibri"/>
          <w:b w:val="0"/>
          <w:color w:val="3A4A28"/>
          <w:sz w:val="20"/>
        </w:rPr>
        <w:t>Private markets and alternatives AUM growth with ~$40B FY2026 fundraising exceeding the $25-30B target, providing higher-fee revenue diversification against active equity fee compression [1]</w:t>
      </w:r>
    </w:p>
    <w:p>
      <w:pPr>
        <w:spacing w:before="40" w:after="40"/>
        <w:ind w:left="283"/>
      </w:pPr>
      <w:r>
        <w:rPr>
          <w:rFonts w:ascii="Calibri" w:hAnsi="Calibri"/>
          <w:b/>
          <w:color w:val="4A6B25"/>
          <w:sz w:val="20"/>
        </w:rPr>
        <w:t xml:space="preserve">3. </w:t>
      </w:r>
      <w:r>
        <w:rPr>
          <w:rFonts w:ascii="Calibri" w:hAnsi="Calibri"/>
          <w:b w:val="0"/>
          <w:color w:val="3A4A28"/>
          <w:sz w:val="20"/>
        </w:rPr>
        <w:t>Deep value entry at 9.82x forward earnings, PEG 0.39, and 4.26% dividend yield backed by 46 consecutive years of payment — any earnings stabilization or re-acceleration could drive significant multiple expansion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shift from active to passive investing continuing to compress fees and drive outflows, with AI-powered investment tools potentially accelerating the displacement of human active management — CEO Johnson has publicly acknowledged this disruption risk [2]</w:t>
      </w:r>
    </w:p>
    <w:p>
      <w:pPr>
        <w:spacing w:before="40" w:after="40"/>
        <w:ind w:left="283"/>
      </w:pPr>
      <w:r>
        <w:rPr>
          <w:rFonts w:ascii="Calibri" w:hAnsi="Calibri"/>
          <w:b/>
          <w:color w:val="4A6B25"/>
          <w:sz w:val="20"/>
        </w:rPr>
        <w:t xml:space="preserve">2. </w:t>
      </w:r>
      <w:r>
        <w:rPr>
          <w:rFonts w:ascii="Calibri" w:hAnsi="Calibri"/>
          <w:b w:val="0"/>
          <w:color w:val="3A4A28"/>
          <w:sz w:val="20"/>
        </w:rPr>
        <w:t>Payout ratio of 89% constraining reinvestment capacity — nearly all earnings consumed by dividends, and any earnings contraction from a market downturn could force a dividend freeze or cut, ending the 45-year growth streak</w:t>
      </w:r>
    </w:p>
    <w:p>
      <w:pPr>
        <w:spacing w:before="40" w:after="40"/>
        <w:ind w:left="283"/>
      </w:pPr>
      <w:r>
        <w:rPr>
          <w:rFonts w:ascii="Calibri" w:hAnsi="Calibri"/>
          <w:b/>
          <w:color w:val="4A6B25"/>
          <w:sz w:val="20"/>
        </w:rPr>
        <w:t xml:space="preserve">3. </w:t>
      </w:r>
      <w:r>
        <w:rPr>
          <w:rFonts w:ascii="Calibri" w:hAnsi="Calibri"/>
          <w:b w:val="0"/>
          <w:color w:val="3A4A28"/>
          <w:sz w:val="20"/>
        </w:rPr>
        <w:t>Declining net income trajectory from $1.29B (FY2022) to $525M (FY2025) despite revenue growth and $1.8T AUM, with 5-year revenue CAGR of just 3% and ROE of 7.89% reflecting inadequate organic growth and capital efficiency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Franklin Templeton's traditional active management business faces meaningful AI disruption risk as algorithmic investing, robo-advisors, and AI-powered portfolio construction tools compress fees and reduce demand for human-managed funds [2]. CEO Jenny Johnson herself has publicly warned that AI's accelerating capabilities raise fundamental questions about whether traditional service providers can continue to thrive, demonstrating acute awareness of disruption dynamics. The secular shift from active to passive investing — already compressing fees industry-wide — could be accelerated by AI-powered investment tools. However, the firm's growing diversification into alternative investments and private markets (~$40B FY2026 fundraising) provides defensive moats — private market due diligence, relationship-based institutional sales, and regulatory complexity cannot be easily AI-automated [1]. AI Opportunity (0/1): While Franklin Templeton has appointed a Chief AI Officer (Deep Ratna Srivastav) and is deploying agentic AI tools via Wand AI partnership for internal productivity, no quantifiable revenue from AI-related products or services has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Franklin Templeton Recent Earnings — Revenue ~$2.36B (+14% YoY), Adjusted Operating Income +35% YoY, Record AUM ~$1.8T, Private Markets Fundraising ~$40B (exceeded $25-30B target), FY2026</w:t>
      </w:r>
    </w:p>
    <w:p>
      <w:pPr>
        <w:spacing w:before="20" w:after="20"/>
        <w:ind w:left="170"/>
      </w:pPr>
      <w:r>
        <w:rPr>
          <w:rFonts w:ascii="Calibri" w:hAnsi="Calibri"/>
          <w:b/>
          <w:color w:val="4A6B25"/>
          <w:sz w:val="15"/>
        </w:rPr>
        <w:t xml:space="preserve">2. </w:t>
      </w:r>
      <w:r>
        <w:rPr>
          <w:rFonts w:ascii="Calibri" w:hAnsi="Calibri"/>
          <w:b w:val="0"/>
          <w:color w:val="3A4A28"/>
          <w:sz w:val="17"/>
        </w:rPr>
        <w:t>Franklin Templeton AI Strategy and Leadership — CEO Jenny Johnson on AI disruption, Chief AI Officer Deep Ratna Srivastav, Wand AI agentic tools rollout, blockchain tokenization pioneer — StartupHub.AI, WealthProfessional, AIMResearch, 2025-2026</w:t>
      </w:r>
    </w:p>
    <w:p>
      <w:pPr>
        <w:spacing w:before="20" w:after="20"/>
        <w:ind w:left="170"/>
      </w:pPr>
      <w:r>
        <w:rPr>
          <w:rFonts w:ascii="Calibri" w:hAnsi="Calibri"/>
          <w:b/>
          <w:color w:val="4A6B25"/>
          <w:sz w:val="15"/>
        </w:rPr>
        <w:t xml:space="preserve">3. </w:t>
      </w:r>
      <w:r>
        <w:rPr>
          <w:rFonts w:ascii="Calibri" w:hAnsi="Calibri"/>
          <w:b w:val="0"/>
          <w:color w:val="3A4A28"/>
          <w:sz w:val="17"/>
        </w:rPr>
        <w:t>Franklin Templeton ESG and CSR — Inaugural CSR Report 2021, TCFD/NZAMI Commitments, ESG Fund Closures, Sustainability Framework — Various Sources,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BEN Key Statistics: Price $30.98, Forward P/E 9.82, PEG 0.39, ROE 7.89%, D/E 24.8%, Profit Margin 8.72%, Dividend Yield 4.26%, Payout Ratio 89.1%, Avg Volume 4.0M,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