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BEPC</w:t>
      </w:r>
      <w:r>
        <w:rPr>
          <w:rFonts w:ascii="Calibri" w:hAnsi="Calibri"/>
          <w:b/>
          <w:color w:val="1A2010"/>
          <w:sz w:val="40"/>
        </w:rPr>
        <w:t xml:space="preserve">  Brookfield Renewable Corporation</w:t>
      </w:r>
    </w:p>
    <w:p>
      <w:pPr>
        <w:spacing w:after="120"/>
      </w:pPr>
      <w:r>
        <w:rPr>
          <w:rFonts w:ascii="Calibri" w:hAnsi="Calibri"/>
          <w:b/>
          <w:color w:val="6E8450"/>
          <w:sz w:val="18"/>
        </w:rPr>
        <w:t>DIVIDEND SLEEVE · 2026-09-28 · Inspire: 0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Renewable · NYSE · United States</w:t>
      </w:r>
    </w:p>
    <w:p>
      <w:pPr>
        <w:spacing w:after="80"/>
      </w:pPr>
      <w:r>
        <w:rPr>
          <w:rFonts w:ascii="Calibri" w:hAnsi="Calibri"/>
          <w:b w:val="0"/>
          <w:color w:val="3A4A28"/>
          <w:sz w:val="20"/>
        </w:rPr>
        <w:t>Brookfield Renewable Corporation owns and operates one of the world's largest publicly traded portfolios of renewable power and sustainable solution assets, with approximately 13,396 MW of installed capacity across hydroelectric, wind, utility-scale solar, distributed generation, pumped storage, carbon capture and storage, cogeneration, biomass, and eFuels. Incorporated in 2019 as a subsidiary of Brookfield Renewable Partners L.P. (managed by Brookfield Asset Management), the company operates across North America, South America, and Europe. Under CEO Connor Teskey, Brookfield Renewable reported record 2025 results with FFO per unit of $2.01 (+10% YoY), commissioned a record 8,000 MW of new capacity, signed a 3,000 MW hydro deal with Google, and launched a $100B AI Infrastructure Program backed by Nvidia and the Kuwait Investment Authority.</w:t>
      </w:r>
    </w:p>
    <w:p>
      <w:r>
        <w:rPr>
          <w:rFonts w:ascii="Calibri" w:hAnsi="Calibri"/>
          <w:b/>
          <w:color w:val="6E8450"/>
          <w:sz w:val="18"/>
        </w:rPr>
        <w:t>2,411 Employees · https://bep.brookfield.com/bepc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Brookfield Renewable has executed a significant expansion and diversification over the past five years, growing from approximately 7,000 MW to 13,396 MW of installed capacity and commissioning a record 8,000 MW in 2025 alone [1]. The portfolio has evolved from primarily hydroelectric to a diversified mix including wind, solar, distributed generation, carbon capture, and eFuels, representing meaningful business model evolution. The $100B AI Infrastructure Program with Nvidia and the Kuwait Investment Authority represents a transformative strategic initiative positioning the company at the intersection of clean energy and AI [2]. AI Deployment (0/2): While Brookfield Renewable has positioned itself as a supplier of clean energy to AI infrastructure (the Google 3,000 MW deal, the Nvidia-backed AI fund), the company itself has not deployed AI-powered products to customers or reported specific AI-driven internal operational savings [1][2]. Being a power supplier to AI companies is not the same as deploying AI. Market Share (1/2): Brookfield Renewable is one of the largest publicly traded renewable energy platforms globally, with a massive 200 GW development pipeline, but operates in an increasingly competitive market with peers including NextEra Energy, Engie, Iberdrola, and Enel, none of whom hold dominant share in the fragmented renewable sector [1]. Product Pipeline (2/2): The 200 GW development pipeline provides exceptional visibility into future capacity additions, with specific projects across hydro, wind, solar, and sustainable solutions [1][2]. The Google 3,000 MW hydro agreement and $100B AI Infrastructure Program provide named, large-scale projects with clear revenue implications. R&amp;D Intensity (0/1): Renewable energy utilities do not typically report R&amp;D spending, and Brookfield Renewable's innovation comes through project development and financial engineering rather than technology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Brookfield Renewable's purpose — owning and operating renewable power assets to support the global energy transition — is clear and connects to the important cause of decarbonization, but it is framed primarily as an investment thesis rather than a transformative vision [2]. The company operates as a subsidiary of Brookfield Asset Management, and its communications emphasize returns-oriented language (FFO growth, distribution increases, IRR targets) alongside environmental impact. The purpose is genuine but the framing is financial-first. Community &amp; Charitable Impact (0/2): Environmental groups in Maine have filed a lawsuit against Brookfield for violating the U.S. Endangered Species Act and accused the company of greenwashing — claiming their Lockwood Dam on the Kennebec River has failed to pass endangered salmon despite marketing claims of biodiversity commitment in their ESG report [3]. No specific charitable programs or community investment dollar amounts were identified. Employee Retention (0/2): No specific employee retention data, voluntary turnover rates, or average tenure information was found for the 2,411-person workforce. The 40% female executive management team suggests intentional diversity, but retention data is unavailable.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Dividend-classified stock, excluding Forward P/E (negative and meaningless for a company with GAAP losses driven by heavy depreciation on renewable energy assets). BEPC's GAAP financial metrics are structurally challenged due to the capital-intensive nature of renewable energy: ROE of -45.46% and profit margin of -102.27% both score 0.0, reflecting massive depreciation and amortization rather than operational weakness — FFO per unit actually grew 10% to $2.01 in 2025 [1][4]. D/E of 229.01% scores 0.309, reflecting the heavy project finance debt typical of renewable infrastructure. Revenue growth YoY of 13% scores 1.0, and 5-year revenue CAGR of approximately 5% scores 0.667 [1]. Among dividend metrics, payout ratio of 108.09% exceeds the 100% floor (scoring 0.0), again reflecting GAAP losses rather than dividend sustainability — FFO-based coverage is adequate. Consecutive years paid (6, scoring 0.6 with 2x weight) and consecutive years of growth (6, scoring 0.6) are limited by BEPC's 2019 incorporation. The 5-year dividend growth CAGR of approximately 5.3% scores 0.883 with 2x weight, reflecting consistent annual 5% distribution increases [1]. Liquidity floor cleared at ~$48.7M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Brookfield Renewable is one of the strongest infinite game players in the energy sector — the company's entire business model is oriented toward a multi-decade energy transition that will outlast any individual technology, market cycle, or leadership tenure. The 200 GW development pipeline, the expansion from hydro into wind, solar, carbon capture, and eFuels, and the strategic pivot to supply AI infrastructure all demonstrate a company built to keep playing across evolving energy landscapes. CEO Connor Teskey's dual role leading both Brookfield Renewable and Brookfield Asset Management provides institutional continuity and long-term capital allocation discipline. The greenwashing allegations in Maine are a blemish on the company's environmental credibility, but the macro strategic orientation is genuinely infinite.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Brookfield Renewable's cause — accelerating the global transition to clean, renewable energy — is genuine and partially lived out through massive capital deployment ($100B AI Infrastructure Program), diversification across renewable technologies, and the commissioning of 8,000 MW of new capacity in a single year [1][2]. The cause connects the company's work to something fundamentally bigger — decarbonizing the global energy system. Some strategic decisions clearly trace back to it (entering carbon capture, eFuels, partnering with Google on clean power). However, BEPC operates as a subsidiary of Brookfield Asset Management, an infrastructure-focused alternative asset manager, and the cause is always framed alongside financial return targets (12-15% total returns), suggesting the mission is genuine but not yet the singular competitive advantage that defines a 3-point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Brookfield Renewable's leadership emphasizes safety, collaboration, and long-term value creation, and the 40% female executive management team demonstrates intentional diversity at the leadership level [2]. With only 2,411 employees managing 13,396 MW of capacity, the organization operates with high efficiency and presumably significant empowerment at the site level. However, no specific evidence of exceptional organizational trust — employee retention data, voluntary turnover rates, or cultural practices creating psychological safety — was identified. The subsidiary structure under Brookfield Asset Management may create a corporate culture more oriented toward financial performance than mission-driven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Brookfield Renewable's competitive approach demonstrates an infinite mindset — partnering with Google (a technology rival that also develops its own energy solutions) rather than competing with them, joining forces with Nvidia (an AI company) to build clean energy infrastructure rather than viewing tech companies as threats [1][2]. The renewable energy sector's collaborative dynamics — where multiple companies partner on large projects, share grid infrastructure, and jointly advocate for policy — reflect an ecosystem orientation rather than zero-sum competition. Management frames its 200 GW pipeline in terms of advancing the energy transition, not defeating specific competitors.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Brookfield Renewable has fundamentally reinvented its portfolio composition over the past decade — evolving from a predominantly hydroelectric power company to a diversified renewable energy platform spanning hydro, wind, utility-scale solar, distributed generation, pumped storage, carbon capture and storage, cogeneration, biomass, and eFuels [1]. The pivot to supply AI infrastructure through the $100B AI Infrastructure Program represents a new strategic direction that repositions the company at the intersection of clean energy and technology growth [2]. Each expansion was driven by the cause of advancing the energy transition rather than desperation — the core hydro business remains profitable and growing (3,000 MW Google deal), but the company expanded to pursue larger opportunities.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Brookfield Renewable demonstrates a clear pattern of costly long-term bets in service of the energy transition cause. The $100B AI Infrastructure Program with Nvidia and the Kuwait Investment Authority is a transformative commitment to building clean energy for AI at unprecedented scale [2]. Commissioning a record 8,000 MW in 2025 required massive upfront capital deployment with multi-year return horizons. The 200 GW development pipeline represents tens of billions in future capital commitment. The Google 3,000 MW hydro deal locks in long-term revenue but requires significant capital and operational investment [1]. Building renewable energy infrastructure inherently requires choosing long-term capability (20-40 year asset lives) over short-term returns, and Brookfield has consistently made this choice at increasing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Brookfield Renewable at $28.47 (5.51% dividend yield) offers a compelling long-term play on the intersection of clean energy and AI infrastructure growth. Record 2025 results — FFO per unit of $2.01 (+10%), 8,000 MW commissioned, 5% distribution increase — demonstrate operational momentum, while the 200 GW development pipeline and $100B AI Infrastructure Program with Nvidia provide exceptional growth visibility [1][2]. AI data centers' insatiable demand for clean electricity creates a secular tailwind validated by the Google 3,000 MW hydro agreement. The stock at $28.47 (down 37% from its 52-week high of $45.18) offers an attractive entry point, pricing in concerns about high leverage and GAAP losses that mask strong underlying cash generation. The 5.51% yield with 5% annual distribution growth (6 consecutive years) provides income with real growth. The AI Resilience score of 10/10 reflects the rare combination of structural immunity to AI disruption AND direct revenue benefit from AI growth.</w:t>
      </w:r>
    </w:p>
    <w:p>
      <w:pPr>
        <w:spacing w:after="120"/>
      </w:pPr>
      <w:r>
        <w:rPr>
          <w:rFonts w:ascii="Calibri" w:hAnsi="Calibri"/>
          <w:b w:val="0"/>
          <w:color w:val="3A4A28"/>
          <w:sz w:val="20"/>
        </w:rPr>
        <w:t>The bear case centers on GAAP financial distress indicators, leverage risk, and execution complexity. D/E of 229.01%, ROE of -45.46%, and profit margin of -102.27% reflect a company reporting significant GAAP losses due to heavy depreciation and amortization — the payout ratio of 108.09% technically exceeds earnings, funded by FFO rather than GAAP net income [4]. This creates refinancing risk if capital markets tighten or interest rates remain elevated, as the $15.4B debt load requires ongoing access to project finance. The 37% decline from the 52-week high suggests investors are concerned about these financial risks. Greenwashing allegations from Maine environmental groups regarding the Kennebec River dams create reputational risk and potentially signal broader environmental compliance issues across the hydro portfolio [3]. The complex corporate structure (BEPC is a subsidiary of BEP, managed by Brookfield Asset Management) creates related-party transaction risk and potential conflicts of interest between public shareholders and the Brookfield parent. Revenue of $3.83B and forward EPS of -$0.96 provide limited traditional valuation anchoring. The Inspire Impact Score of 0 (MIXED) with no positive or negative attributions offers no clear signal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infrastructure power demand — the $100B AI Infrastructure Program with Nvidia and the Kuwait Investment Authority, combined with the Google 3,000 MW hydro agreement, positions Brookfield Renewable as a primary clean energy supplier to the AI buildout, a market projected to add tens of GW of electricity demand annually [1][2]</w:t>
      </w:r>
    </w:p>
    <w:p>
      <w:pPr>
        <w:spacing w:before="40" w:after="40"/>
        <w:ind w:left="283"/>
      </w:pPr>
      <w:r>
        <w:rPr>
          <w:rFonts w:ascii="Calibri" w:hAnsi="Calibri"/>
          <w:b/>
          <w:color w:val="4A6B25"/>
          <w:sz w:val="20"/>
        </w:rPr>
        <w:t xml:space="preserve">2. </w:t>
      </w:r>
      <w:r>
        <w:rPr>
          <w:rFonts w:ascii="Calibri" w:hAnsi="Calibri"/>
          <w:b w:val="0"/>
          <w:color w:val="3A4A28"/>
          <w:sz w:val="20"/>
        </w:rPr>
        <w:t>Record development pipeline conversion — the 200 GW development pipeline represents decades of growth visibility, and accelerating commissioned capacity from the record 8,000 MW in 2025 would drive FFO per unit growth toward the consensus $2.56 target for 2026, supporting continued 5%+ annual distribution increases [1]</w:t>
      </w:r>
    </w:p>
    <w:p>
      <w:pPr>
        <w:spacing w:before="40" w:after="40"/>
        <w:ind w:left="283"/>
      </w:pPr>
      <w:r>
        <w:rPr>
          <w:rFonts w:ascii="Calibri" w:hAnsi="Calibri"/>
          <w:b/>
          <w:color w:val="4A6B25"/>
          <w:sz w:val="20"/>
        </w:rPr>
        <w:t xml:space="preserve">3. </w:t>
      </w:r>
      <w:r>
        <w:rPr>
          <w:rFonts w:ascii="Calibri" w:hAnsi="Calibri"/>
          <w:b w:val="0"/>
          <w:color w:val="3A4A28"/>
          <w:sz w:val="20"/>
        </w:rPr>
        <w:t>Stock price recovery from 37% drawdown — at $28.47 vs. the 52-week high of $45.18, the market appears to be pricing in excessive risk; any improvement in interest rate outlook, successful project financings, or positive earnings surprises could drive a recovery toward intrinsic value, supported by the 5.51% yield providing a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Refinancing risk on $15.4B debt at elevated interest rates — the capital-intensive renewable infrastructure model requires continuous access to project finance, and D/E of 229.01% leaves the company vulnerable if credit markets tighten or spreads widen, potentially forcing asset sales at disadvantageous valuations [4]</w:t>
      </w:r>
    </w:p>
    <w:p>
      <w:pPr>
        <w:spacing w:before="40" w:after="40"/>
        <w:ind w:left="283"/>
      </w:pPr>
      <w:r>
        <w:rPr>
          <w:rFonts w:ascii="Calibri" w:hAnsi="Calibri"/>
          <w:b/>
          <w:color w:val="4A6B25"/>
          <w:sz w:val="20"/>
        </w:rPr>
        <w:t xml:space="preserve">2. </w:t>
      </w:r>
      <w:r>
        <w:rPr>
          <w:rFonts w:ascii="Calibri" w:hAnsi="Calibri"/>
          <w:b w:val="0"/>
          <w:color w:val="3A4A28"/>
          <w:sz w:val="20"/>
        </w:rPr>
        <w:t>Greenwashing and environmental compliance risk — the Kennebec River dam controversy (Endangered Species Act lawsuit, failed salmon passage, environmental group denunciations) could expand to other hydro assets, triggering regulatory action, costly remediation, or reputational damage that undermines the clean energy positioning [3]</w:t>
      </w:r>
    </w:p>
    <w:p>
      <w:pPr>
        <w:spacing w:before="40" w:after="40"/>
        <w:ind w:left="283"/>
      </w:pPr>
      <w:r>
        <w:rPr>
          <w:rFonts w:ascii="Calibri" w:hAnsi="Calibri"/>
          <w:b/>
          <w:color w:val="4A6B25"/>
          <w:sz w:val="20"/>
        </w:rPr>
        <w:t xml:space="preserve">3. </w:t>
      </w:r>
      <w:r>
        <w:rPr>
          <w:rFonts w:ascii="Calibri" w:hAnsi="Calibri"/>
          <w:b w:val="0"/>
          <w:color w:val="3A4A28"/>
          <w:sz w:val="20"/>
        </w:rPr>
        <w:t>Complex corporate structure creating alignment risk — BEPC's status as a subsidiary of Brookfield Renewable Partners (managed by Brookfield Asset Management) creates related-party transaction risk, management fee conflicts, and governance complexity that may not always prioritize public minority shareholder interests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Brookfield Renewable's core business — owning and operating physical renewable energy infrastructure (hydroelectric dams, wind farms, solar installations, pumped storage) — is structurally immune to AI disruption [1]. AI cannot displace the need for electricity generation, and these are physical-world assets with multi-decade lifespans that require specialized engineering, regulatory compliance, and geographic positioning that AI cannot replicate. Crucially, AI dramatically increases demand for Brookfield's product: AI data centers require enormous amounts of electricity, and the technology industry's commitment to clean energy procurement makes renewable energy providers direct beneficiaries of AI growth. The 3,000 MW Google hydro deal and the $100B AI Infrastructure Program with Nvidia validate this thesis [1][2]. Analysts universally view renewable energy infrastructure as a beneficiary, not a victim, of AI adoption. The regulatory environment (power purchase agreements, utility rate structures, renewable energy mandates) adds additional structural protection. AI Opportunity (1/1): Brookfield Renewable generates direct AI-related revenue through clean energy supply agreements with technology companies building AI infrastructure — the Google 3,000 MW agreement and the $100B AI Infrastructure Fund backed by Nvidia and the Kuwait Investment Authority represent quantifiable, large-scale AI revenue streams [1][2]. The company is positioned as a primary clean energy supplier to the AI buildout.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Brookfield Renewable 2025 Annual Results — Record FFO/unit $2.01 (+10% YoY), 5% distribution increase to $1.568 annually, record 8,000 MW commissioned, Google 3,000 MW hydro agreement, February 2026</w:t>
      </w:r>
    </w:p>
    <w:p>
      <w:pPr>
        <w:spacing w:before="20" w:after="20"/>
        <w:ind w:left="170"/>
      </w:pPr>
      <w:r>
        <w:rPr>
          <w:rFonts w:ascii="Calibri" w:hAnsi="Calibri"/>
          <w:b/>
          <w:color w:val="4A6B25"/>
          <w:sz w:val="15"/>
        </w:rPr>
        <w:t xml:space="preserve">2. </w:t>
      </w:r>
      <w:r>
        <w:rPr>
          <w:rFonts w:ascii="Calibri" w:hAnsi="Calibri"/>
          <w:b w:val="0"/>
          <w:color w:val="3A4A28"/>
          <w:sz w:val="17"/>
        </w:rPr>
        <w:t>Brookfield Renewable Strategic Positioning — CEO Connor Teskey, $100B AI Infrastructure Program with Nvidia/Kuwait Investment Authority, 200 GW development pipeline, 40% female executive team, Institutional Investor/CoStar, 2025-2026</w:t>
      </w:r>
    </w:p>
    <w:p>
      <w:pPr>
        <w:spacing w:before="20" w:after="20"/>
        <w:ind w:left="170"/>
      </w:pPr>
      <w:r>
        <w:rPr>
          <w:rFonts w:ascii="Calibri" w:hAnsi="Calibri"/>
          <w:b/>
          <w:color w:val="4A6B25"/>
          <w:sz w:val="15"/>
        </w:rPr>
        <w:t xml:space="preserve">3. </w:t>
      </w:r>
      <w:r>
        <w:rPr>
          <w:rFonts w:ascii="Calibri" w:hAnsi="Calibri"/>
          <w:b w:val="0"/>
          <w:color w:val="3A4A28"/>
          <w:sz w:val="17"/>
        </w:rPr>
        <w:t>Brookfield Renewable ESG Controversy — Maine environmental groups greenwashing allegations, Lockwood Dam Kennebec River failed salmon passage, Endangered Species Act lawsuit, Sustainalytics negligible controversy level, NRCM, 2022-2024</w:t>
      </w:r>
    </w:p>
    <w:p>
      <w:pPr>
        <w:spacing w:before="20" w:after="20"/>
        <w:ind w:left="170"/>
      </w:pPr>
      <w:r>
        <w:rPr>
          <w:rFonts w:ascii="Calibri" w:hAnsi="Calibri"/>
          <w:b/>
          <w:color w:val="4A6B25"/>
          <w:sz w:val="15"/>
        </w:rPr>
        <w:t xml:space="preserve">4. </w:t>
      </w:r>
      <w:r>
        <w:rPr>
          <w:rFonts w:ascii="Calibri" w:hAnsi="Calibri"/>
          <w:b w:val="0"/>
          <w:color w:val="3A4A28"/>
          <w:sz w:val="17"/>
        </w:rPr>
        <w:t>Yahoo Finance — BEPC Key Statistics: D/E 229.01%, ROE -45.46%, Profit Margin -102.27%, Dividend Yield 5.51%, Stock Price $28.47,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