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BE</w:t>
      </w:r>
      <w:r>
        <w:rPr>
          <w:rFonts w:ascii="Calibri" w:hAnsi="Calibri"/>
          <w:b/>
          <w:color w:val="1A2010"/>
          <w:sz w:val="40"/>
        </w:rPr>
        <w:t xml:space="preserve">  Bloom Energy Corporation</w:t>
      </w:r>
    </w:p>
    <w:p>
      <w:pPr>
        <w:spacing w:after="120"/>
      </w:pPr>
      <w:r>
        <w:rPr>
          <w:rFonts w:ascii="Calibri" w:hAnsi="Calibri"/>
          <w:b/>
          <w:color w:val="6E8450"/>
          <w:sz w:val="18"/>
        </w:rPr>
        <w:t>GROWTH SLEEVE · 2026-10-05 · Inspire: 66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NYSE · United States</w:t>
      </w:r>
    </w:p>
    <w:p>
      <w:pPr>
        <w:spacing w:after="80"/>
      </w:pPr>
      <w:r>
        <w:rPr>
          <w:rFonts w:ascii="Calibri" w:hAnsi="Calibri"/>
          <w:b w:val="0"/>
          <w:color w:val="3A4A28"/>
          <w:sz w:val="20"/>
        </w:rPr>
        <w:t>Bloom Energy designs, manufactures, and installs solid oxide fuel cell systems ('Bloom Energy Servers') providing modular, on-site power generation, founded in 2001 by CEO KR Sridhar, a former NASA aerospace researcher. The company has become a leading power solution for AI data centers, with landmark deployments including 50MW delivered to Oracle in 55 days, a $5B Brookfield partnership, and a 2.8GW Oracle Project Jupiter master agreement. Q2 2026 revenue reached a record $1.065B (+166% YoY), and management raised full-year 2026 revenue guidance to $3.9-4.2B, roughly double 2025's $2.02B. Total backlog stands at approximately $20B ($6B product, $14B service).</w:t>
      </w:r>
    </w:p>
    <w:p>
      <w:r>
        <w:rPr>
          <w:rFonts w:ascii="Calibri" w:hAnsi="Calibri"/>
          <w:b/>
          <w:color w:val="6E8450"/>
          <w:sz w:val="18"/>
        </w:rPr>
        <w:t>2,214 Employees · https://www.bloomenergy.com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Bloom Energy has executed a transformative market pivot from general commercial and industrial fuel cell power to becoming a primary modular power provider for AI data centers, driving revenue from $1.47B in 2024 to a $3.9-4.2B FY2026 guidance range [1]. Landmark deals include the 2.8GW Oracle Project Jupiter master agreement, $5B Brookfield partnership, and $2.65B American Electric Power agreement. AI Deployment (0/2): Bloom's fuel cells enable AI infrastructure but are not themselves AI-powered products; the solid oxide fuel cells use electrochemical processes, not artificial intelligence [1]. No AI-driven internal cost savings have been reported. Market Share (1/2): Bloom is the undisputed leader in solid oxide fuel cell technology for distributed power, with 80% of Q2 orders from repeat customers [3]. However, in the broader data center power market, Bloom competes against gas turbines, modular nuclear (Chevron-Microsoft, NuScale), and grid-scale solutions, limiting its overall market share [2]. Product Pipeline (1/2): The Bloom Electrolyzer for hydrogen production represents a genuine new product category, and manufacturing capacity expansion is underway, but specific next-generation fuel cell products with named launch dates and quantified revenue visibility were not identified beyond scaling current technology [1]. R&amp;D Intensity (1/1): Bloom has sustained above-average R&amp;D investment relative to the electrical equipment industry for over two decades, reflecting its technology-first approach to solid oxide fuel cell development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KR Sridhar's articulated mission -- 'make clean, reliable energy affordable for all' -- is specific, thoughtful, and has guided strategic decisions for 25 years since the company's founding from his NASA fuel cell research [2]. Sridhar states, 'Every time we make a decision in the company, I ask, is that going to move us closer to that mission statement?' The mission differentiates from peers and connects clean energy to broader accessibility, but has not been validated by decades of sustained profitability -- Bloom was unprofitable for most of its existence. Community Impact (0/2): No evidence of significant charitable programs, community investment, or foundation activity was identified beyond general clean energy positioning [3]. Employee Retention (0/2): Glassdoor reviews reveal concerning cultural indicators: a C- executive team rating on Comparably, reports of frequent layoffs without clear communication, top-down decision-making that excludes subject matter experts, and concerns about discrimination based on gender and ethnicity [2]. This signals poor retention and low organizational trust. Insider Buying (0/2): No evidence of meaningful net insider buying by KR Sridhar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 of 171.6% scores 0.56 on the metric scale ($2.8B debt against $2.7B cash), a significant drag but much improved from prior periods [4]. ROE of 22.2% exceeds the 15% target, scoring fully at 2x weight. Revenue growth YoY of 165.5% and 5yr CAGR of ~20% both score fully at their respective weights. Forward P/E of 58.5 scores 0.04 -- nearly at the 60x floor, reflecting extreme valuation for a company still scaling profitability [4]. Profit margin of 7.9% scores 0.39, well below the 20% target despite gross margins improving to 33.4% in Q2 2026 [1]. Forward PEG of 0.65 scores fully at 2x weight, reflecting exceptional growth-adjusted valuation. Liquidity is outstanding at ~$4.5B daily turnover. Calculation: weighted sum 7.99 / max 10 =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Bloom Energy demonstrates genuine courage through KR Sridhar's two-decade investment in solid oxide fuel cell technology through years of financial losses, and a distinctive Just Cause around democratizing clean power. However, the company's low-trust organizational culture -- marked by frequent layoffs, top-down decision-making, and poor employee sentiment -- undermines the infinite game foundation. The pivot to AI data centers is meaningful market adaptation but not the transformative business model reinvention Sinek describes, and competitive language focuses on Bloom's advantages rather than learning from rivals.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Sridhar's mission to make clean, reliable, affordable electricity broadly accessible is genuinely distinctive and has guided the company for 25 years, surviving the long journey from pre-revenue startup through years of losses to the current AI-driven growth inflection [2]. The mission is idealistic, service-oriented, and clearly shapes strategy. However, it has not yet been validated by decades of consistent execution as a profitable enterprise -- Bloom was unprofitable for most of its existence and only recently achieved meaningful profitability, so the cause hasn't been tested through sustained success across market cycles.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indicators point to a low-trust organizational culture. Glassdoor reviews describe top-down decision-making where leadership excludes subject matter experts, HR functioning as a barrier rather than a bridge, frequent layoffs without transparent communication, and concerns about discrimination [2]. The executive team received a C- rating on Comparably. With only 2,214 employees, these cultural issues directly affect organizational cohesion. Sinek would view this as a Circle of Safety failure that undermines the company's ability to sustain its Just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Bloom Energy's competitive posture is oriented around market dominance and Bloom's structural advantages rather than learning from rivals. Sridhar frames the competitive challenge as centralized grid infrastructure being structurally inadequate for AI power demand, positioning Bloom as the solution rather than acknowledging specific areas where gas turbine manufacturers, nuclear providers, or other fuel cell companies push Bloom to improve [2]. No evidence of an infinite competitive mindset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Bloom has meaningfully reoriented its go-to-market from general commercial and industrial customers to AI data centers as the primary growth engine, a pivot that has doubled revenue guidance and reshaped the investment narrative [1]. However, the core product (solid oxide fuel cells) and technology remain fundamentally unchanged -- this is a market expansion leveraging existing capabilities, not a Sinek-level transformative reinvention where the company abandoned a profitable business model in service of a larger cause. The Electrolyzer for hydrogen production represents genuine capability expansion.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KR Sridhar sustained over two decades of R&amp;D investment in solid oxide fuel cell technology through periods of significant financial losses, persistent market skepticism about fuel cell economics, and multiple technology hype cycles that left fuel cells behind [2]. The company burned cash for years while competitors pivoted to quicker returns. Every annual investment decision during the unprofitable years was a choice to prioritize long-term technological conviction over short-term earnings -- a pattern of courage that has only recently been validated by the AI power boom. Sridhar won the 2026 POWER Executive Leadership Award recognizing this sustained commitment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Bloom Energy at $289 offers a direct play on the AI power bottleneck with record Q2 2026 revenue of $1.065B (+166% YoY), raised FY2026 guidance to $3.9-4.2B (100%+ growth), and a $20B total backlog including $6B in product orders (+140% YoY) and $14B in long-term service contracts [1][3]. The solid oxide fuel cell technology provides on-site, rapid-deployment power that the grid cannot match -- the 50MW Oracle deployment in 55 days demonstrates competitive time-to-power advantage. Forward PEG of 0.65 suggests the market has not fully priced in the growth trajectory, and 80% repeat customer orders indicate strong product satisfaction and switching costs [3]. ROE of 22.2% confirms the company has achieved sustainable profitability, and gross margin expansion to 33.4% signals operating leverage as scale increases [1]. The Inspire Impact Score of 66 (ALIGNED) reflects Bloom's clean energy mission with no negative attributions.</w:t>
      </w:r>
    </w:p>
    <w:p>
      <w:pPr>
        <w:spacing w:after="120"/>
      </w:pPr>
      <w:r>
        <w:rPr>
          <w:rFonts w:ascii="Calibri" w:hAnsi="Calibri"/>
          <w:b w:val="0"/>
          <w:color w:val="3A4A28"/>
          <w:sz w:val="20"/>
        </w:rPr>
        <w:t>The bear case centers on extreme absolute valuation, execution risk, and competitive threats. Forward P/E of 58.5x and trailing P/E of 380x leave essentially no margin for error -- any deceleration in AI data center capital spending would compress the multiple dramatically given the stock trades at 27x FY2026 guided revenue [4]. Profit margin of 7.9% remains thin despite 33.4% gross margins, and the $2.8B debt load (D/E 171.6%) creates financial fragility if growth slows [4]. Supply chain risk around scandium oxide, a critical material for solid oxide fuel cells, represents a single-point-of-failure vulnerability. Competition is intensifying as modular nuclear (Chevron-Microsoft, NuScale), large-scale gas turbines, and alternative fuel cell providers target the same AI data center power opportunity [2]. The low-trust organizational culture (C- executive team rating, frequent layoffs, 2,214 employees) creates execution bottlenecks as the company attempts to scale from $2B to $4B+ in revenue. Investigative reporting on emissions claims and historical controversies may resurface as Bloom's public profile grows.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revenue guidance of $3.9-4.2B represents 100%+ growth, with Q2 run-rate suggesting upside potential; continued AI data center buildout could sustain 30%+ revenue growth beyond 2026 [1]</w:t>
      </w:r>
    </w:p>
    <w:p>
      <w:pPr>
        <w:spacing w:before="40" w:after="40"/>
        <w:ind w:left="283"/>
      </w:pPr>
      <w:r>
        <w:rPr>
          <w:rFonts w:ascii="Calibri" w:hAnsi="Calibri"/>
          <w:b/>
          <w:color w:val="4A6B25"/>
          <w:sz w:val="20"/>
        </w:rPr>
        <w:t xml:space="preserve">2. </w:t>
      </w:r>
      <w:r>
        <w:rPr>
          <w:rFonts w:ascii="Calibri" w:hAnsi="Calibri"/>
          <w:b w:val="0"/>
          <w:color w:val="3A4A28"/>
          <w:sz w:val="20"/>
        </w:rPr>
        <w:t>$20B total backlog ($6B product + $14B service) provides exceptional multi-year revenue visibility at approximately 5x current-year revenue, with 80% repeat customer orders validating product quality and switching costs [3]</w:t>
      </w:r>
    </w:p>
    <w:p>
      <w:pPr>
        <w:spacing w:before="40" w:after="40"/>
        <w:ind w:left="283"/>
      </w:pPr>
      <w:r>
        <w:rPr>
          <w:rFonts w:ascii="Calibri" w:hAnsi="Calibri"/>
          <w:b/>
          <w:color w:val="4A6B25"/>
          <w:sz w:val="20"/>
        </w:rPr>
        <w:t xml:space="preserve">3. </w:t>
      </w:r>
      <w:r>
        <w:rPr>
          <w:rFonts w:ascii="Calibri" w:hAnsi="Calibri"/>
          <w:b w:val="0"/>
          <w:color w:val="3A4A28"/>
          <w:sz w:val="20"/>
        </w:rPr>
        <w:t>Gross margin expansion from 26.7% to 33.4% in Q2 2026 demonstrates operating leverage; continued margin improvement toward 40%+ would unlock significant earnings growth and justify the premium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58.5x and $85B market cap on $3.1B TTM revenue embed sustained hypergrowth expectations; any deceleration in AI data center capital expenditure or execution miss on guidance could trigger 30-50% drawdown [4]</w:t>
      </w:r>
    </w:p>
    <w:p>
      <w:pPr>
        <w:spacing w:before="40" w:after="40"/>
        <w:ind w:left="283"/>
      </w:pPr>
      <w:r>
        <w:rPr>
          <w:rFonts w:ascii="Calibri" w:hAnsi="Calibri"/>
          <w:b/>
          <w:color w:val="4A6B25"/>
          <w:sz w:val="20"/>
        </w:rPr>
        <w:t xml:space="preserve">2. </w:t>
      </w:r>
      <w:r>
        <w:rPr>
          <w:rFonts w:ascii="Calibri" w:hAnsi="Calibri"/>
          <w:b w:val="0"/>
          <w:color w:val="3A4A28"/>
          <w:sz w:val="20"/>
        </w:rPr>
        <w:t>Scandium oxide supply chain concentration creates single-material dependency for solid oxide fuel cell production; supply disruption or price spikes could constrain manufacturing capacity during the critical scaling phase</w:t>
      </w:r>
    </w:p>
    <w:p>
      <w:pPr>
        <w:spacing w:before="40" w:after="40"/>
        <w:ind w:left="283"/>
      </w:pPr>
      <w:r>
        <w:rPr>
          <w:rFonts w:ascii="Calibri" w:hAnsi="Calibri"/>
          <w:b/>
          <w:color w:val="4A6B25"/>
          <w:sz w:val="20"/>
        </w:rPr>
        <w:t xml:space="preserve">3. </w:t>
      </w:r>
      <w:r>
        <w:rPr>
          <w:rFonts w:ascii="Calibri" w:hAnsi="Calibri"/>
          <w:b w:val="0"/>
          <w:color w:val="3A4A28"/>
          <w:sz w:val="20"/>
        </w:rPr>
        <w:t>Intensifying competition from modular nuclear reactors (Chevron-Microsoft, NuScale), large-scale gas turbines, and alternative distributed generation technologies is fragmenting the AI data center power market, potentially compressing Bloom's pricing power and market share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Bloom Energy is structurally immune to AI disruption and is a direct beneficiary -- AI data centers require massive, reliable on-site power that the grid cannot deliver fast enough, and Bloom's solid oxide fuel cells fill exactly that gap. CEO Sridhar frames it as 'the AI race will be won by electricity, not algorithms' [2]. Physical fuel cell manufacturing, installation, and maintenance cannot be replaced by software. However, Bloom faces emerging competitive threats from modular nuclear (Chevron-Microsoft partnerships, NuScale), natural gas turbines, and alternative distributed generation technologies that could capture portions of the AI power market, preventing a full 9/9 immunity score [2]. AI Opportunity (1/1): Bloom generates substantial and rapidly growing AI-related revenue -- the majority of the company's explosive 166% Q2 YoY revenue growth is driven by AI data center customers, with the $5B Brookfield framework and 2.8GW Oracle Project Jupiter deals specifically targeting AI infrastructure power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Bloom Energy Q2 2026 Earnings Release — Record Revenue $1.065B (+166% YoY), Raised FY2026 Guidance $3.9-4.2B, Gross Margin 33.4%, Operating Income $182.2M — investor.bloomenergy.com, July 2026</w:t>
      </w:r>
    </w:p>
    <w:p>
      <w:pPr>
        <w:spacing w:before="20" w:after="20"/>
        <w:ind w:left="170"/>
      </w:pPr>
      <w:r>
        <w:rPr>
          <w:rFonts w:ascii="Calibri" w:hAnsi="Calibri"/>
          <w:b/>
          <w:color w:val="4A6B25"/>
          <w:sz w:val="15"/>
        </w:rPr>
        <w:t xml:space="preserve">2. </w:t>
      </w:r>
      <w:r>
        <w:rPr>
          <w:rFonts w:ascii="Calibri" w:hAnsi="Calibri"/>
          <w:b w:val="0"/>
          <w:color w:val="3A4A28"/>
          <w:sz w:val="17"/>
        </w:rPr>
        <w:t>Bloom Energy CEO KR Sridhar Leadership Profile, 2026 POWER Executive Leadership Award, AI Data Center Strategy, Glassdoor and Comparably Culture Reviews — Bloomberg, POWER Magazine, Comparably, 2025-2026</w:t>
      </w:r>
    </w:p>
    <w:p>
      <w:pPr>
        <w:spacing w:before="20" w:after="20"/>
        <w:ind w:left="170"/>
      </w:pPr>
      <w:r>
        <w:rPr>
          <w:rFonts w:ascii="Calibri" w:hAnsi="Calibri"/>
          <w:b/>
          <w:color w:val="4A6B25"/>
          <w:sz w:val="15"/>
        </w:rPr>
        <w:t xml:space="preserve">3. </w:t>
      </w:r>
      <w:r>
        <w:rPr>
          <w:rFonts w:ascii="Calibri" w:hAnsi="Calibri"/>
          <w:b w:val="0"/>
          <w:color w:val="3A4A28"/>
          <w:sz w:val="17"/>
        </w:rPr>
        <w:t>Bloom Energy Backlog Analysis — $20B Total Backlog, $5B Brookfield Framework, 80% Repeat Orders, Backlog Growing Faster Than Revenue — Seeking Alpha, Motley Fool,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BE Key Statistics: Forward P/E 58.5, PEG 0.65, D/E 171.6%, ROE 22.2%, Profit Margin 7.9%, Market Cap $85B,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