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BGC</w:t>
      </w:r>
      <w:r>
        <w:rPr>
          <w:rFonts w:ascii="Calibri" w:hAnsi="Calibri"/>
          <w:b/>
          <w:color w:val="1A2010"/>
          <w:sz w:val="40"/>
        </w:rPr>
        <w:t xml:space="preserve">  BGC Group, Inc.</w:t>
      </w:r>
    </w:p>
    <w:p>
      <w:pPr>
        <w:spacing w:after="120"/>
      </w:pPr>
      <w:r>
        <w:rPr>
          <w:rFonts w:ascii="Calibri" w:hAnsi="Calibri"/>
          <w:b/>
          <w:color w:val="6E8450"/>
          <w:sz w:val="18"/>
        </w:rPr>
        <w:t>GROWTH SLEEVE · 2026-09-07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Capital Markets · NASDAQ · United States</w:t>
      </w:r>
    </w:p>
    <w:p>
      <w:pPr>
        <w:spacing w:after="80"/>
      </w:pPr>
      <w:r>
        <w:rPr>
          <w:rFonts w:ascii="Calibri" w:hAnsi="Calibri"/>
          <w:b w:val="0"/>
          <w:color w:val="3A4A28"/>
          <w:sz w:val="20"/>
        </w:rPr>
        <w:t>BGC Group is a global brokerage and financial technology company providing electronic and hybrid trading solutions across fixed income, foreign exchange, energy, commodities, equities, and insurance. The company operates the Fenics platform (electronic trading, market data, and analytics constituting 25% of revenue) and the FMX Exchange, which has captured over 30% U.S. Treasury market share and is directly challenging CME's dominance in interest rate derivatives [1]. Following Howard Lutnick's departure to serve as U.S. Secretary of Commerce, BGC transitioned to a three co-CEO leadership structure. Q1 2026 revenue hit $955.5M (+43.8% YoY) and Q2 2026 set a record at $845.5M (+7.8% YoY), with first-half revenues exceeding $1.8B [1].</w:t>
      </w:r>
    </w:p>
    <w:p>
      <w:r>
        <w:rPr>
          <w:rFonts w:ascii="Calibri" w:hAnsi="Calibri"/>
          <w:b/>
          <w:color w:val="6E8450"/>
          <w:sz w:val="18"/>
        </w:rPr>
        <w:t>3,500 Employees · https://www.bgcg.com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BGC has executed a meaningful transformation from traditional voice brokerage to a hybrid electronic trading platform, with Fenics growing to 25% of total revenue and data/network/post-trade revenue surging 14% in 2024 [2]. The FMX Futures Exchange represents a bold market entry challenging CME's decades-long monopoly in U.S.-listed interest rate derivatives. This is a significant business model evolution, though the transformation is still in progress rather than fully completed. AI Deployment (0/2): No specific AI-powered products shipping to customers or quantified AI-driven cost savings were identified. The technology focus is on electronic trading infrastructure rather than AI applications. Market Share (2/2): FMX's U.S. Treasury platform has captured over 30% market share in a critical fixed income market, making it a category leader in electronic Treasury trading [2]. BGC is also a recognized world leader in environmental and energy transition markets brokerage, demonstrating leadership across multiple verticals. Product Pipeline (2/2): FMX Futures Exchange has a specific pipeline of upcoming new tradeable instruments directly challenging CME, with clear launch timelines and revenue visibility from expanding the platform's product suite [2]. Q3 2026 guidance of $775-835M provides near-term financial visibility. R&amp;D Intensity (1/1): Significant technology investment in Fenics and FMX platforms, with technology infrastructure development well above the traditional brokerage industry average as evidenced by the electronic platform buildout.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BGC's stated purpose centers on providing better, more efficient markets through technology — a clear business objective but one interchangeable with any financial technology firm. The company does not articulate a deeper purpose beyond market efficiency and shareholder value. The heritage of rebuilding after losing 658 colleagues on September 11, 2001 provides a genuine emotional foundation, but this is not actively articulated as a forward-looking Just Cause. Community Impact (1/2): BGC has connections to the Cantor Fitzgerald Relief Fund through its corporate heritage, and the company has committed to being a leading broker for the green economy, but no specific charitable programs, foundation giving amounts, or distinctive community investment initiatives were identified for BGC Group specifically [3]. Employee Retention (0/2): The leadership transition from Howard Lutnick to three co-CEOs introduces significant organizational uncertainty. No employee retention data, voluntary turnover rates, or tenure metrics were identified. The departure of the founding CEO creates potential culture instability. Insider Buying (0/2): Howard Lutnick sold shares as part of his departure to serve as Secretary of Commerce. The Brandon Lutnick share purchase was a related-party transfer transaction rather than open-market insider buying, providing no signal of conviction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of 7.85x is well below the 20x target, reflecting significant undervaluation for a high-growth financial technology company [4]. Forward PEG of 0.40 is far below the 1.0 target, indicating earnings growth substantially exceeds the multiple paid (2x weight). ROE of 14.62% is just below the 15% target. Revenue growth YoY of approximately 20% (H1 2026 up 24% vs H1 2025) well exceeds the 10% target [1]. Revenue growth 5-year CAGR of approximately 14% is strong. D/E of 157% is above the 70% target but well below the 300% floor. The primary drag is GAAP profit margin of 6.29%, reflecting BGC's complex partnership structure and heavy share-based compensation charges rather than underlying business weakness — adjusted pre-tax margins are materially higher at approximately 22-24%. Liquidity floor cleared at $30.5M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BGC Group plays a largely finite game oriented around market share capture and competitive destruction — the FMX Exchange is explicitly positioned to challenge and displace CME's monopoly rather than to advance a cause that transcends competition. Howard Lutnick's departure to government removes the most prominent leader and introduces succession uncertainty with a three co-CEO structure that is historically unstable. The courage to build FMX and transform from voice to electronic brokerage earns points, but the company's purpose does not extend beyond commercial ambition. The 9/11 rebuilding story provides authentic resilience DNA, but it is not actively channeled into a forward-looking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BGC's purpose is to provide more efficient, technology-driven markets — a worthy commercial objective but fundamentally about competitive positioning rather than a vision of a better future. The 9/11 rebuilding story (losing 658 colleagues and reconstructing the firm) provides genuine emotional depth and resilience, but this heritage is not actively channeled into a forward-looking cause that shapes strategic decisions today [2]. The FMX Exchange exists to take market share from CME, not to advance a broader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departure of founder Howard Lutnick to serve as U.S. Secretary of Commerce and the transition to three co-CEOs creates significant organizational uncertainty. Multi-CEO structures are historically unstable and often signal a lack of clear succession rather than distributed trust [2]. The brokerage industry is known for a competitive, high-pressure culture, and the loss of the defining leader raises questions about organizational cohesion. No employee satisfaction data, retention metrics, or cultural evidence was identified to offset these concerns.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BGC's competitive posture toward CME is explicitly adversarial — FMX is framed as a 'direct challenge to CME's longstanding dominance' rather than a self-improvement effort inspired by a worthy competitor [2]. The language is about capturing market share and displacing an incumbent, not about learning from rivals to improve. This is a classic finite competitive mindset in Sinek's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BGC has evolved its business model meaningfully over the past decade, transitioning from predominantly voice-based brokerage to a hybrid model with significant electronic trading capabilities. Fenics now constitutes 25% of revenue, and FMX represents a fundamentally new business line (exchange operation) rather than just brokerage [2]. However, this is incremental evolution rather than a transformative, all-in pivot — the company still operates a large traditional brokerage alongside the new platforms, hedging rather than committing fully to the electronic future.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Building FMX to directly challenge CME Group — the dominant incumbent in U.S. interest rate derivatives with decades of entrenched market position — is a genuinely courageous strategic bet requiring substantial capital investment with uncertain returns and fierce competitive response [2]. The decision to invest heavily in electronic platform development (Fenics) when voice brokerage was still profitable demonstrates willingness to cannibalize existing revenue for long-term positioning. Rebuilding the firm after losing 658 colleagues on 9/11 is the ultimate test of courage, and that DNA clearly persists in the organization's willingness to take on outsized competitive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BGC Group at 7.85x forward earnings with a PEG of 0.40 is one of the most attractively valued high-growth financial technology companies in the market. H1 2026 revenues exceeded $1.8B (+24% YoY), Q1 pre-tax adjusted earnings surged 44.9%, and Q3 guidance of $775-835M implies continued double-digit growth [1]. The FMX Exchange has already captured 30%+ U.S. Treasury market share and is expanding into futures — a direct challenge to CME that could unlock enormous value if successful. Fenics platform revenue (25% of total) provides high-margin, recurring technology revenue that warrants a higher multiple than traditional brokerage. The 6.29% GAAP profit margin understates true economics — adjusted pre-tax margins run 22-24%, reflecting share-based compensation distortions in the partnership structure.</w:t>
      </w:r>
    </w:p>
    <w:p>
      <w:pPr>
        <w:spacing w:after="120"/>
      </w:pPr>
      <w:r>
        <w:rPr>
          <w:rFonts w:ascii="Calibri" w:hAnsi="Calibri"/>
          <w:b w:val="0"/>
          <w:color w:val="3A4A28"/>
          <w:sz w:val="20"/>
        </w:rPr>
        <w:t>The bear case centers on leadership transition risk and execution uncertainty. Howard Lutnick's departure to serve as Secretary of Commerce removes the visionary founder who drove the FMX strategy and managed complex stakeholder relationships — the three co-CEO structure is historically unstable and may lead to strategic drift [2]. D/E of 157% reflects meaningful leverage in a business with cyclical revenue exposure to trading volumes and market volatility. The GAAP profit margin of 6.29% creates optically poor fundamentals that may keep value-oriented investors away. FMX's challenge to CME is high-stakes — CME has deep competitive moats including network effects, regulatory relationships, and decades of customer integration, and FMX could fail to achieve profitability if it cannot attract sufficient futures volume [2]. Q2 2026 revenue growth of only 7.8% (vs 43.8% in Q1) suggests the growth rate may be normalizing from the Q1 acquisition-boosted spike. The Inspire Impact Score of 41 (ALIGNED) is supportive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FMX Futures Exchange launch of new tradeable instruments directly challenging CME's interest rate derivatives monopoly, with the potential to capture a meaningful share of a multi-trillion-dollar market if execution succeeds [2]</w:t>
      </w:r>
    </w:p>
    <w:p>
      <w:pPr>
        <w:spacing w:before="40" w:after="40"/>
        <w:ind w:left="283"/>
      </w:pPr>
      <w:r>
        <w:rPr>
          <w:rFonts w:ascii="Calibri" w:hAnsi="Calibri"/>
          <w:b/>
          <w:color w:val="4A6B25"/>
          <w:sz w:val="20"/>
        </w:rPr>
        <w:t xml:space="preserve">2. </w:t>
      </w:r>
      <w:r>
        <w:rPr>
          <w:rFonts w:ascii="Calibri" w:hAnsi="Calibri"/>
          <w:b w:val="0"/>
          <w:color w:val="3A4A28"/>
          <w:sz w:val="20"/>
        </w:rPr>
        <w:t>Fenics platform revenue scaling from 25% toward 35-40% of total revenue as electronic trading adoption accelerates, driving margin expansion from higher-margin technology revenue replacing lower-margin voice brokerage [2]</w:t>
      </w:r>
    </w:p>
    <w:p>
      <w:pPr>
        <w:spacing w:before="40" w:after="40"/>
        <w:ind w:left="283"/>
      </w:pPr>
      <w:r>
        <w:rPr>
          <w:rFonts w:ascii="Calibri" w:hAnsi="Calibri"/>
          <w:b/>
          <w:color w:val="4A6B25"/>
          <w:sz w:val="20"/>
        </w:rPr>
        <w:t xml:space="preserve">3. </w:t>
      </w:r>
      <w:r>
        <w:rPr>
          <w:rFonts w:ascii="Calibri" w:hAnsi="Calibri"/>
          <w:b w:val="0"/>
          <w:color w:val="3A4A28"/>
          <w:sz w:val="20"/>
        </w:rPr>
        <w:t>Q3 2026 guidance midpoint of $805M implies 9%+ revenue growth continuing the streak of double-digit annual growth since 2022, with full-year 2026 revenue potentially exceeding $3.5B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Three co-CEO leadership structure following Howard Lutnick's departure to government is historically unstable and could result in strategic disagreements, execution delays, or key employee attrition during a critical growth phase [2]</w:t>
      </w:r>
    </w:p>
    <w:p>
      <w:pPr>
        <w:spacing w:before="40" w:after="40"/>
        <w:ind w:left="283"/>
      </w:pPr>
      <w:r>
        <w:rPr>
          <w:rFonts w:ascii="Calibri" w:hAnsi="Calibri"/>
          <w:b/>
          <w:color w:val="4A6B25"/>
          <w:sz w:val="20"/>
        </w:rPr>
        <w:t xml:space="preserve">2. </w:t>
      </w:r>
      <w:r>
        <w:rPr>
          <w:rFonts w:ascii="Calibri" w:hAnsi="Calibri"/>
          <w:b w:val="0"/>
          <w:color w:val="3A4A28"/>
          <w:sz w:val="20"/>
        </w:rPr>
        <w:t>FMX Futures Exchange may fail to achieve profitability against CME's entrenched network effects, regulatory moats, and competitive pricing response — the investment could become a long-term value destroyer if futures volume targets are not met</w:t>
      </w:r>
    </w:p>
    <w:p>
      <w:pPr>
        <w:spacing w:before="40" w:after="40"/>
        <w:ind w:left="283"/>
      </w:pPr>
      <w:r>
        <w:rPr>
          <w:rFonts w:ascii="Calibri" w:hAnsi="Calibri"/>
          <w:b/>
          <w:color w:val="4A6B25"/>
          <w:sz w:val="20"/>
        </w:rPr>
        <w:t xml:space="preserve">3. </w:t>
      </w:r>
      <w:r>
        <w:rPr>
          <w:rFonts w:ascii="Calibri" w:hAnsi="Calibri"/>
          <w:b w:val="0"/>
          <w:color w:val="3A4A28"/>
          <w:sz w:val="20"/>
        </w:rPr>
        <w:t>Cyclical revenue exposure to global trading volumes and market volatility — a sustained low-volatility environment could compress brokerage commissions and slow the revenue growth trajectory that supports the current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BGC faces a dual AI exposure — traditional voice and hybrid brokerage (approximately 75% of revenue) is at meaningful risk from AI-driven automation of trading execution, price discovery, and client relationships. AI-powered trading platforms could reduce the need for human brokers in commodities, FX, and fixed income markets, potentially compressing the commission-based revenue model [2]. However, BGC is actively transitioning to electronic platforms (Fenics, FMX) that position it on the right side of this disruption. The FMX Exchange and Fenics platform are technology infrastructure plays that could benefit from AI integration. Regulatory complexity in financial markets and the need for institutional-grade execution provide some defensive moats against pure-play AI disruptors. AI Opportunity (1/1): Fenics constitutes 25% of total revenue and is a genuine electronic trading and data platform that could integrate AI capabilities for improved market-making, price discovery, and analytics [2]. The technology platform revenue base provides a foundation for AI-enhanced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BGC Group Q1/Q2 2026 Earnings — Q1 Revenue $955.5M (+43.8%), Q2 Revenue $845.5M (+7.8%), H1 $1.8B (+24%), Pre-Tax Adjusted Earnings Q1 $232.1M (+44.9%), Q3 Guidance $775-835M, TradingView and Investing.com, 2026</w:t>
      </w:r>
    </w:p>
    <w:p>
      <w:pPr>
        <w:spacing w:before="20" w:after="20"/>
        <w:ind w:left="170"/>
      </w:pPr>
      <w:r>
        <w:rPr>
          <w:rFonts w:ascii="Calibri" w:hAnsi="Calibri"/>
          <w:b/>
          <w:color w:val="4A6B25"/>
          <w:sz w:val="15"/>
        </w:rPr>
        <w:t xml:space="preserve">2. </w:t>
      </w:r>
      <w:r>
        <w:rPr>
          <w:rFonts w:ascii="Calibri" w:hAnsi="Calibri"/>
          <w:b w:val="0"/>
          <w:color w:val="3A4A28"/>
          <w:sz w:val="17"/>
        </w:rPr>
        <w:t>BGC Group Strategic Profile — FMX Exchange (30%+ Treasury Market Share), Fenics Platform (25% of Revenue), Howard Lutnick Departure, Three Co-CEO Structure, Revenue 12% Growth Since 2022, SEC Filings and Industry Reports, 2024-2026</w:t>
      </w:r>
    </w:p>
    <w:p>
      <w:pPr>
        <w:spacing w:before="20" w:after="20"/>
        <w:ind w:left="170"/>
      </w:pPr>
      <w:r>
        <w:rPr>
          <w:rFonts w:ascii="Calibri" w:hAnsi="Calibri"/>
          <w:b/>
          <w:color w:val="4A6B25"/>
          <w:sz w:val="15"/>
        </w:rPr>
        <w:t xml:space="preserve">3. </w:t>
      </w:r>
      <w:r>
        <w:rPr>
          <w:rFonts w:ascii="Calibri" w:hAnsi="Calibri"/>
          <w:b w:val="0"/>
          <w:color w:val="3A4A28"/>
          <w:sz w:val="17"/>
        </w:rPr>
        <w:t>BGC Group ESG — Green Economy Brokerage Leadership, Carbon Credits/Energy Transition Markets, Whistleblower Policy, Insider Trading Policies, Minichart and Corporate Filings,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BGC Key Statistics: Forward P/E 7.85x, PEG 0.40, ROE 14.62%, D/E 157%, Profit Margin 6.29%,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