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BGL</w:t>
      </w:r>
      <w:r>
        <w:rPr>
          <w:rFonts w:ascii="Calibri" w:hAnsi="Calibri"/>
          <w:b/>
          <w:color w:val="1A2010"/>
          <w:sz w:val="40"/>
        </w:rPr>
        <w:t xml:space="preserve">  Blue Gold Limited</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NASDAQ · Cayman Islands</w:t>
      </w:r>
    </w:p>
    <w:p>
      <w:pPr>
        <w:spacing w:after="80"/>
      </w:pPr>
      <w:r>
        <w:rPr>
          <w:rFonts w:ascii="Calibri" w:hAnsi="Calibri"/>
          <w:b w:val="0"/>
          <w:color w:val="3A4A28"/>
          <w:sz w:val="20"/>
        </w:rPr>
        <w:t>Blue Gold Limited acquires, develops, finances, licenses, and operates gold mines in Ghana's Ashanti Gold Belt, with its flagship Bogoso Prestea Mine currently halted due to a lease termination dispute. Founded in 2023 and Nasdaq-listed since June 2025, the company is pre-revenue with a $10M market cap, $0.7M cash, and a $12.3M working capital deficit. BGL is also pursuing a gold-backed digital currency ecosystem through its Standard Gold Coin (SGC) stablecoin and digital wallet platform, appointing a CTO in November 2025 to lead the initiative.</w:t>
      </w:r>
    </w:p>
    <w:p>
      <w:r>
        <w:rPr>
          <w:rFonts w:ascii="Calibri" w:hAnsi="Calibri"/>
          <w:b/>
          <w:color w:val="6E8450"/>
          <w:sz w:val="18"/>
        </w:rPr>
        <w:t>6 Employees · https://bluegoldmine.com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BGL is a pre-revenue gold mining company with no successful product launches or operational milestones since its 2023 founding. The flagship Bogoso Prestea Mine in Ghana remains halted due to an unresolved lease termination dispute, and the company reported a $16.4M operating loss in 2025 with zero gold production [1]. AI Deployment (0/2): No AI strategy, products, or quantifiable AI-driven results for this pre-operational mining company with 6 employees. Market Share (0/2): Zero gold production and zero mining revenue — BGL holds no meaningful market presence in gold mining or fintech [1]. Product Pipeline (1/2): CTO Nathan Dionne was appointed in November 2025 to develop the Standard Gold Coin (SGC) gold-backed stablecoin, digital wallet, and proprietary gold production and trading platform [2]. The company targets 200,000+ oz annual production and positions itself as the world's first vertically integrated gold fintech company, though timelines remain dependent on resolving the mine dispute. R&amp;D Intensity (0/1): No evidence of R&amp;D spending for a pre-revenue mining company with 6 employees.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BGL states it is 'committed to responsible development, operational transparency, and leveraging modern financial technologies to redefine how gold is produced, accessed, and owned' — generic corporate language interchangeable with any mining-fintech venture, with no distinctive purpose beyond commercial objectives [2]. Community Impact (0/2): No evidence of charitable giving, community programs, or foundation activities despite operating in Ghana's Ashanti region. Employee Retention (0/2): With only 6 full-time employees and no publicly available retention or tenure data, there is no basis for assessment [3]. Insider Buying (0/2): No verifiable insider buying transaction data was identified in public filings or financial databases.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753,489 shares at $0.23 yields daily dollar volume of approximately $173,000, well below the $1,000,000 IOWN liquidity threshold [3]. Infrastructure score is automatically 0. Underlying financials are equally dire: BGL is pre-revenue with zero profit margins, a $16.4M operating loss, only $0.7M cash, $4.7M total debt, and a $12.3M working capital deficit [1]. The company is seeking up to $75M in financing amid the Ghana lease dispute and severe liquidity risk. Forward P/E of 1.15x reflects an extremely optimistic analyst EPS estimate of $0.20 for a company with no current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Blue Gold is a finite player by nearly every measure — a pre-revenue mining company founded in 2023 with no demonstrated Just Cause beyond extracting gold for profit, no leadership track record of courageous long-term decisions, and insufficient organizational history to demonstrate trust or resilience. The sole point of flexibility is the expansion toward gold-backed fintech alongside traditional mining, though this appears driven more by operational blockage at Bogoso Prestea than purposeful strategic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BGL exists to mine gold and tokenize it for commercial gain. There is no articulated vision of a better future that transcends profit — 'redefining how gold is produced, accessed, and owned' is a commercial aspiration, not a cause people would sacrifice to advance [2]. The company is 3 years old with no track record of purpose-driven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 full-time employees and a company founded in 2023, organizational trust and culture dynamics cannot be meaningfully assessed. The halted mine operations and severe financial distress ($0.7M cash, $12.3M working capital deficit) create existential uncertainty rather than organizational stability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in either direction. BGL is too early-stage and operationally challenged to have articulated a competitive philosophy. CEO Andrew Cavaghan discusses growth plans and digital initiatives but there is no commentary on competitors or using competitive pressure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BGL has shown some adaptability by expanding its vision from pure gold mining to a vertically integrated gold-fintech company — developing a gold-backed stablecoin (SGC), digital wallet, and payment platform alongside traditional mining [2]. The CTO appointment in November 2025 and COO Gustavo Gomes appointment signal strategic evolution. However, this pivot appears partly forced by halted mine operations rather than a purposeful cause-driven transformation, and neither the mining nor fintech business has generated revenue.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The company faces existential challenges — halted operations, minimal cash, working capital deficit — and leadership responses have focused on survival (seeking $75M financing, pursuing lease dispute resolution) rather than willingness to sacrifice short-term results for long-term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BGL offers theoretical exposure to Ghana's prolific Ashanti Gold Belt through the Bogoso Prestea Mine, combined with an emerging gold-backed digital currency ecosystem (Standard Gold Coin stablecoin and digital wallet) [2]. The company targets 200,000+ oz annual production and has appointed experienced mining veteran Gustavo Gomes as COO to build operational readiness. Analyst forecasts project 56.4% annual earnings growth and 43.9% revenue growth, and the forward P/E of 1.15x implies significant upside if the mine lease dispute is favorably resolved [1][3].</w:t>
      </w:r>
    </w:p>
    <w:p>
      <w:pPr>
        <w:spacing w:after="120"/>
      </w:pPr>
      <w:r>
        <w:rPr>
          <w:rFonts w:ascii="Calibri" w:hAnsi="Calibri"/>
          <w:b w:val="0"/>
          <w:color w:val="3A4A28"/>
          <w:sz w:val="20"/>
        </w:rPr>
        <w:t>The bear case is overwhelming. BGL is a pre-revenue company with only $0.7M cash, a $12.3M working capital deficit, $16.4M operating loss, and 6 employees, seeking up to $75M in external financing with no clear path to securing it [1]. The Bogoso Prestea Mine remains halted due to an unresolved lease termination dispute — the company's entire revenue thesis depends on favorable arbitration with the Republic of Ghana. The stock fails the IOWN liquidity floor at ~$173K daily dollar volume, making institutional investment impractical. The gold-backed stablecoin initiative (SGC) adds execution risk on top of an already challenged mining business [2]. At $10M market cap with existential liquidity risk and Nasdaq minimum market value deficiency, this is a speculative pre-revenue mining stock unsuitable for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Favorable resolution of the Bogoso Prestea Mine lease dispute and international arbitration against the Republic of Ghana, unlocking access to Ashanti Gold Belt reserves and enabling production toward the 200,000+ oz annual target [1]</w:t>
      </w:r>
    </w:p>
    <w:p>
      <w:pPr>
        <w:spacing w:before="40" w:after="40"/>
        <w:ind w:left="283"/>
      </w:pPr>
      <w:r>
        <w:rPr>
          <w:rFonts w:ascii="Calibri" w:hAnsi="Calibri"/>
          <w:b/>
          <w:color w:val="4A6B25"/>
          <w:sz w:val="20"/>
        </w:rPr>
        <w:t xml:space="preserve">2. </w:t>
      </w:r>
      <w:r>
        <w:rPr>
          <w:rFonts w:ascii="Calibri" w:hAnsi="Calibri"/>
          <w:b w:val="0"/>
          <w:color w:val="3A4A28"/>
          <w:sz w:val="20"/>
        </w:rPr>
        <w:t>Successful launch of the Standard Gold Coin (SGC) stablecoin and gold-backed digital payment platform, creating a new revenue stream independent of physical mining operations [2]</w:t>
      </w:r>
    </w:p>
    <w:p>
      <w:pPr>
        <w:spacing w:before="40" w:after="40"/>
        <w:ind w:left="283"/>
      </w:pPr>
      <w:r>
        <w:rPr>
          <w:rFonts w:ascii="Calibri" w:hAnsi="Calibri"/>
          <w:b/>
          <w:color w:val="4A6B25"/>
          <w:sz w:val="20"/>
        </w:rPr>
        <w:t xml:space="preserve">3. </w:t>
      </w:r>
      <w:r>
        <w:rPr>
          <w:rFonts w:ascii="Calibri" w:hAnsi="Calibri"/>
          <w:b w:val="0"/>
          <w:color w:val="3A4A28"/>
          <w:sz w:val="20"/>
        </w:rPr>
        <w:t>Securing the up to $75M financing sought by management to address the working capital deficit and fund mine development and digital platform buildout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liquidity risk with only $0.7M cash, a $12.3M working capital deficit, and no current revenue — the company may be unable to fund operations without dilutive equity raises or financing that may not materialize [1]</w:t>
      </w:r>
    </w:p>
    <w:p>
      <w:pPr>
        <w:spacing w:before="40" w:after="40"/>
        <w:ind w:left="283"/>
      </w:pPr>
      <w:r>
        <w:rPr>
          <w:rFonts w:ascii="Calibri" w:hAnsi="Calibri"/>
          <w:b/>
          <w:color w:val="4A6B25"/>
          <w:sz w:val="20"/>
        </w:rPr>
        <w:t xml:space="preserve">2. </w:t>
      </w:r>
      <w:r>
        <w:rPr>
          <w:rFonts w:ascii="Calibri" w:hAnsi="Calibri"/>
          <w:b w:val="0"/>
          <w:color w:val="3A4A28"/>
          <w:sz w:val="20"/>
        </w:rPr>
        <w:t>Bogoso Prestea Mine lease dispute and arbitration against Ghana remains unresolved — an unfavorable outcome could permanently impair the core asset and eliminate the primary revenue thesis [1]</w:t>
      </w:r>
    </w:p>
    <w:p>
      <w:pPr>
        <w:spacing w:before="40" w:after="40"/>
        <w:ind w:left="283"/>
      </w:pPr>
      <w:r>
        <w:rPr>
          <w:rFonts w:ascii="Calibri" w:hAnsi="Calibri"/>
          <w:b/>
          <w:color w:val="4A6B25"/>
          <w:sz w:val="20"/>
        </w:rPr>
        <w:t xml:space="preserve">3. </w:t>
      </w:r>
      <w:r>
        <w:rPr>
          <w:rFonts w:ascii="Calibri" w:hAnsi="Calibri"/>
          <w:b w:val="0"/>
          <w:color w:val="3A4A28"/>
          <w:sz w:val="20"/>
        </w:rPr>
        <w:t>Extreme illiquidity with daily dollar volume of ~$173K and Nasdaq minimum market value deficiency notification create delisting risk and make the stock effectively untradeable for institutional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displace — extracting, processing, and refining gold requires heavy equipment, skilled labor, and on-the-ground geological expertise in regulated mining environments [1]. AI may modestly improve exploration targeting and processing optimization but cannot substitute for the fundamental physical extraction process. Gold itself has intrinsic commodity value independent of technology trends, and AI-driven economic uncertainty could increase demand for gold as a safe-haven asset. The business model is IMMUNE to AI substitution risk by its inherent physicality. However, BGL currently has no active operations, limiting the practical relevance of this protection. AI Opportunity (0/1): No AI-related revenue or deployment. The gold-backed stablecoin initiative involves blockchain technology but not artificial intelligence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 Gold Limited 20-F Annual Report and Seeking Alpha Analysis — Pre-revenue status, $16.4M operating loss, $0.7M cash, $12.3M working capital deficit, Bogoso Prestea lease dispute,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Blue Gold Corporate Updates — CTO Nathan Dionne appointment, SGC stablecoin strategy, COO Gustavo Gomes appointment, 200K+ oz production target, Yahoo Finance/Investing.com/StockTitan,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BGL Key Statistics: Price $0.23, Forward P/E 1.15x, Avg Volume 753,489, Market Cap ~$10M,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