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BHC</w:t>
      </w:r>
      <w:r>
        <w:rPr>
          <w:rFonts w:ascii="Calibri" w:hAnsi="Calibri"/>
          <w:b/>
          <w:color w:val="1A2010"/>
          <w:sz w:val="40"/>
        </w:rPr>
        <w:t xml:space="preserve">  Bausch Health Companies Inc.</w:t>
      </w:r>
    </w:p>
    <w:p>
      <w:pPr>
        <w:spacing w:after="120"/>
      </w:pPr>
      <w:r>
        <w:rPr>
          <w:rFonts w:ascii="Calibri" w:hAnsi="Calibri"/>
          <w:b/>
          <w:color w:val="6E8450"/>
          <w:sz w:val="18"/>
        </w:rPr>
        <w:t>GROWTH SLEEVE · 2026-09-07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NYSE · United States</w:t>
      </w:r>
    </w:p>
    <w:p>
      <w:pPr>
        <w:spacing w:after="80"/>
      </w:pPr>
      <w:r>
        <w:rPr>
          <w:rFonts w:ascii="Calibri" w:hAnsi="Calibri"/>
          <w:b w:val="0"/>
          <w:color w:val="3A4A28"/>
          <w:sz w:val="20"/>
        </w:rPr>
        <w:t>Bausch Health Companies (formerly Valeant Pharmaceuticals) is a diversified healthcare company operating through Salix Pharmaceuticals (GI, including Xifaxan), Bausch + Lomb (eye health), Solta Medical (aesthetics), and international/diversified product lines. The company carries $21.7B in total debt from its aggressive Valeant-era acquisition strategy and is executing a multi-year turnaround under CEO Thomas Appio. Q2 2026 revenue rose 13% to $2.85B with all segments contributing to growth, adjusted EBITDA surged 28% to $1.08B with a historically high 59% adjusted margin, and management raised full-year 2026 guidance to $10.79-$11.04B in revenue [1]. This marks the 13th consecutive quarter of top and bottom line growth.</w:t>
      </w:r>
    </w:p>
    <w:p>
      <w:r>
        <w:rPr>
          <w:rFonts w:ascii="Calibri" w:hAnsi="Calibri"/>
          <w:b/>
          <w:color w:val="6E8450"/>
          <w:sz w:val="18"/>
        </w:rPr>
        <w:t>27,000 Employees · https://www.bauschhealth.com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Bausch Health has executed a steady operational turnaround with 13 consecutive quarters of top and bottom line growth, with Xifaxan revenue climbing 26% in Q2 2026 and Solta Medical delivering strong aesthetics growth [1]. However, the growth is driven by maximizing existing products rather than launching transformative new products or business model innovations. The Bausch + Lomb partial separation was a significant restructuring move. AI Deployment (1/2): Bausch + Lomb under CEO Brent Saunders has implemented mandatory AI literacy training tied to employee bonuses, partnered with Coursera for enterprise-wide AI learning, and launched the VisionAI Challenge for operational AI use cases [2]. These are concrete deployment steps above the exploration stage, though no specific revenue or cost savings from AI have been quantified. Market Share (1/2): Xifaxan dominates the IBS-D treatment category and is a meaningful franchise within gastroenterology, while Bausch + Lomb maintains significant market presence in contact lenses and eye care products globally [1]. Product Pipeline (1/2): The company is pursuing new indications and formulations for existing drugs and expanding Solta Medical's aesthetics platform, but specific next-generation products with named launch dates and revenue visibility were not identified beyond the current portfolio optimization. R&amp;D Intensity (1/1): Healthcare R&amp;D spending is above average for the diversified pharma sector, consistent with maintaining drug pipelines and eye health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Bausch Health's stated mission is to become 'a leading global diversified healthcare company' — a generic corporate ambition interchangeable with any pharmaceutical peer. The Valeant-era legacy of aggressive pricing and acquisition-driven growth without regard for patient access continues to shadow the company's credibility as a purpose-driven organization. The mission does not articulate a vision for patient outcomes or healthcare improvement that differentiates from peers. Community Impact (0/2): No specific charitable programs, foundation giving, or community investment initiatives were identified for Bausch Health Companies. The Valeant heritage includes controversy over drug pricing practices that harmed patient access. Employee Retention (1/2): Bausch + Lomb CEO Brent Saunders has invested meaningfully in employee development through mandatory AI literacy training tied to compensation and the VisionAI Challenge, suggesting organizational investment in workforce capabilities [2]. However, no specific retention data or tenure metrics were identified, and the parent company's turbulent history from the Valeant era may affect long-term talent retention.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extreme debt burden is the defining feature — D/E of approximately 14,788% ($21.7B debt against $147M equity) scores 0.0, far exceeding the 300% floor and reflecting the Valeant-era leveraged acquisition legacy [3]. The forward P/E of 1.41x is extraordinarily low, scoring maximum, but reflects distressed valuation rather than hidden value — the market prices in substantial risk of default or dilution. ROE of approximately 436% technically scores maximum but is meaningless given the near-zero equity base. Revenue growth YoY of 13% exceeds the 10% target, driven by Xifaxan (+26%) and Solta strength [1]. The 5-year revenue CAGR of approximately 5% is below the 10% target. Net profit margin of 1.53% is near zero, reflecting $1.5B+ in annual interest expense consuming operating profits. Forward PEG of approximately 0.04 scores maximum at 2x weight. The low PEG and PE metrics mathematically boost the score despite the existential balance sheet risk. Liquidity floor cleared at $24.7M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Bausch Health is a company playing a fundamentally finite game — surviving its debt burden, maximizing cash generation from existing products, and defending patent positions through litigation. The Valeant legacy of aggressive pricing, leveraged acquisitions, and accounting controversies represents one of the most extreme examples of finite-game thinking in corporate history. While the current management team under CEO Thomas Appio has stabilized operations and delivered 13 consecutive quarters of growth, the company's strategic posture remains oriented toward financial survival rather than advancing a cause. The $21.7B debt load dictates every strategic decision, making long-term purpose-driven thinking a luxury the balance sheet cannot afford.</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Bausch Health does not have a Just Cause. The company exists to service $21.7B in debt, maximize cash flow from its pharmaceutical and medical device portfolios, and navigate litigation risk. The Valeant-era history of predatory drug pricing (Nitropress, Isuprel price hikes of 200-500%), accounting fraud, and aggressive financial engineering represents the antithesis of purpose-driven business [3]. While current management has stabilized operations, no articulated vision of a better future guides strategic decisions — the balance sheet dictates the strategy.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Bausch + Lomb subsidiary shows positive cultural development under CEO Brent Saunders — mandatory AI literacy training tied to bonuses and the VisionAI Challenge suggest investment in employee development and empowerment [2]. However, the parent company's history from the Valeant era included a fear-based, results-at-all-costs culture that may still influence organizational dynamics. The turnaround leadership has been stable with Appio since 2022, providing some continuity.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Bausch Health's competitive posture is defensive — fighting generic challengers through patent litigation (Xifaxan lawsuits against Sun Pharma, Amneal) rather than learning from competitors to improve [3]. The antitrust allegations of pay-for-delay schemes with Teva suggest a strategy of blocking competition rather than embracing it as motivation for self-improvement. This is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Valeant Pharmaceuticals to Bausch Health was an existential pivot, though driven by survival necessity rather than cause-driven strategic vision. The company abandoned Valeant's acquisition-and-price-increase model, rebranded, and refocused on organic growth across its product portfolio [1]. The partial separation of Bausch + Lomb as a standalone entity represents a willingness to structurally reimagine the company. However, these changes were reactive to crisis, not proactive pursuit of a better future.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multi-year turnaround from the Valeant crisis required genuine leadership courage — rebuilding credibility with regulators, investors, and healthcare professionals while managing an existential debt burden. CEO Appio has invested in operational excellence and delivered 13 consecutive quarters of growth rather than pursuing quick financial fixes [1]. The decision to invest in AI capabilities at B+L (tying bonuses to AI training) shows some forward-looking investment. However, the courage is constrained by the debt load — leadership cannot make truly bold, long-term bets when $1.5B+ in annual interest payments dictate priorities.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Bausch Health at 1.41x forward earnings offers speculative deep-value upside if the turnaround continues and the debt burden becomes manageable. Q2 2026 revenue of $2.85B (+13% YoY) with 59% adjusted EBITDA margins and $637M in adjusted operating cash flow (+44%) demonstrate the underlying business is generating substantial cash [1]. Xifaxan revenue surging 26% and Solta Medical growth provide revenue momentum across segments, while the raised FY2026 guidance ($10.79-$11.04B revenue, $4.05-$4.18B adjusted EBITDA) signals management confidence. The 13th consecutive quarter of growth validates the operational turnaround thesis. Bausch + Lomb's AI-forward culture under CEO Saunders and strong global eye health franchise provide additional optionality [2].</w:t>
      </w:r>
    </w:p>
    <w:p>
      <w:pPr>
        <w:spacing w:after="120"/>
      </w:pPr>
      <w:r>
        <w:rPr>
          <w:rFonts w:ascii="Calibri" w:hAnsi="Calibri"/>
          <w:b w:val="0"/>
          <w:color w:val="3A4A28"/>
          <w:sz w:val="20"/>
        </w:rPr>
        <w:t>The bear case is dominated by the existential balance sheet risk. $21.7B in total debt against $147M in equity creates a D/E ratio of approximately 14,788% — among the most leveraged companies in the S&amp;P universe [3]. Annual interest expense exceeding $1.5B consumes the vast majority of operating profits, leaving a GAAP net margin of just 1.53%. The Xifaxan patent estate faces ongoing generic challenges with antitrust allegations of pay-for-delay schemes adding legal complexity [3]. A loss of Xifaxan exclusivity would devastate cash flows given the franchise represents a disproportionate share of Salix revenue. The Valeant legacy of predatory pricing and accounting fraud continues to weigh on corporate credibility and investor trust, while the class action lawsuit provides ongoing litigation overhang. The Altman Z-Score of 0.21 places the company firmly in the financial distress zone. The Inspire Impact Score of 0 (MIXED) reflects minimal ESG engagement data rather than positive or negative signals.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Xifaxan revenue momentum (+26% in Q2 2026) and successful defense of patent estate against generic challengers could extend the high-margin exclusivity period that generates disproportionate cash flow for debt reduction [1]</w:t>
      </w:r>
    </w:p>
    <w:p>
      <w:pPr>
        <w:spacing w:before="40" w:after="40"/>
        <w:ind w:left="283"/>
      </w:pPr>
      <w:r>
        <w:rPr>
          <w:rFonts w:ascii="Calibri" w:hAnsi="Calibri"/>
          <w:b/>
          <w:color w:val="4A6B25"/>
          <w:sz w:val="20"/>
        </w:rPr>
        <w:t xml:space="preserve">2. </w:t>
      </w:r>
      <w:r>
        <w:rPr>
          <w:rFonts w:ascii="Calibri" w:hAnsi="Calibri"/>
          <w:b w:val="0"/>
          <w:color w:val="3A4A28"/>
          <w:sz w:val="20"/>
        </w:rPr>
        <w:t>Adjusted EBITDA growth (+28% in Q2) at 59% margin with raised FY2026 guidance to $4.05-$4.18B provides a path to meaningful debt reduction if management prioritizes deleveraging over other capital allocation [1]</w:t>
      </w:r>
    </w:p>
    <w:p>
      <w:pPr>
        <w:spacing w:before="40" w:after="40"/>
        <w:ind w:left="283"/>
      </w:pPr>
      <w:r>
        <w:rPr>
          <w:rFonts w:ascii="Calibri" w:hAnsi="Calibri"/>
          <w:b/>
          <w:color w:val="4A6B25"/>
          <w:sz w:val="20"/>
        </w:rPr>
        <w:t xml:space="preserve">3. </w:t>
      </w:r>
      <w:r>
        <w:rPr>
          <w:rFonts w:ascii="Calibri" w:hAnsi="Calibri"/>
          <w:b w:val="0"/>
          <w:color w:val="3A4A28"/>
          <w:sz w:val="20"/>
        </w:rPr>
        <w:t>Bausch + Lomb separation or strategic alternatives could unlock value by creating a clean eye health company unencumbered by the parent's debt and Valeant legacy, potentially attracting a premium valuation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Xifaxan patent loss or adverse antitrust ruling in the pay-for-delay litigation against Teva could trigger rapid revenue decline in BHC's most profitable franchise, threatening the company's ability to service $21.7B in debt [3]</w:t>
      </w:r>
    </w:p>
    <w:p>
      <w:pPr>
        <w:spacing w:before="40" w:after="40"/>
        <w:ind w:left="283"/>
      </w:pPr>
      <w:r>
        <w:rPr>
          <w:rFonts w:ascii="Calibri" w:hAnsi="Calibri"/>
          <w:b/>
          <w:color w:val="4A6B25"/>
          <w:sz w:val="20"/>
        </w:rPr>
        <w:t xml:space="preserve">2. </w:t>
      </w:r>
      <w:r>
        <w:rPr>
          <w:rFonts w:ascii="Calibri" w:hAnsi="Calibri"/>
          <w:b w:val="0"/>
          <w:color w:val="3A4A28"/>
          <w:sz w:val="20"/>
        </w:rPr>
        <w:t>Balance sheet distress with $21.7B in debt, $147M in equity, and an Altman Z-Score of 0.21 in the bankruptcy risk zone — any significant revenue or cash flow disruption could trigger a restructuring or default scenario [3]</w:t>
      </w:r>
    </w:p>
    <w:p>
      <w:pPr>
        <w:spacing w:before="40" w:after="40"/>
        <w:ind w:left="283"/>
      </w:pPr>
      <w:r>
        <w:rPr>
          <w:rFonts w:ascii="Calibri" w:hAnsi="Calibri"/>
          <w:b/>
          <w:color w:val="4A6B25"/>
          <w:sz w:val="20"/>
        </w:rPr>
        <w:t xml:space="preserve">3. </w:t>
      </w:r>
      <w:r>
        <w:rPr>
          <w:rFonts w:ascii="Calibri" w:hAnsi="Calibri"/>
          <w:b w:val="0"/>
          <w:color w:val="3A4A28"/>
          <w:sz w:val="20"/>
        </w:rPr>
        <w:t>Valeant legacy litigation including the class action lawsuit for investors with substantial losses creates ongoing legal exposure and reputational overhang that constrains the company's ability to access capital markets at favorable terms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Bausch Health's core business — manufacturing and selling branded pharmaceuticals and medical devices — is structurally protected from AI disruption. Pharmaceutical manufacturing requires FDA-regulated facilities, complex supply chains, and proprietary formulations that AI cannot replicate or bypass. The Xifaxan franchise is protected by patents and regulatory exclusivity (though facing generic challenges through litigation rather than AI disruption). Bausch + Lomb's contact lenses, surgical equipment, and eye care products involve physical manufacturing and medical device regulation that create structural moats [1]. The primary risk to BHC's business is generic competition and patent expiration, not AI substitution. AI Opportunity (1/1): Bausch + Lomb is actively generating AI-adjacent value through its mandatory AI literacy program, VisionAI Challenge, and Coursera partnership, with CEO Saunders tying employee compensation to AI adoption [2]. While specific AI revenue is not broken out, the company is positioning AI as an operational efficiency driver across its 13,000-person B+L subsidiary.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Bausch Health Q2 2026 Earnings — Revenue $2.85B (+13%), Net Income $258M (+74%), Adjusted EBITDA $1.08B (+28%, 59% Margin), Xifaxan +26%, FY2026 Guidance Raised to $10.79-$11.04B, SEC 8-K and PRNewswire, July 2026</w:t>
      </w:r>
    </w:p>
    <w:p>
      <w:pPr>
        <w:spacing w:before="20" w:after="20"/>
        <w:ind w:left="170"/>
      </w:pPr>
      <w:r>
        <w:rPr>
          <w:rFonts w:ascii="Calibri" w:hAnsi="Calibri"/>
          <w:b/>
          <w:color w:val="4A6B25"/>
          <w:sz w:val="15"/>
        </w:rPr>
        <w:t xml:space="preserve">2. </w:t>
      </w:r>
      <w:r>
        <w:rPr>
          <w:rFonts w:ascii="Calibri" w:hAnsi="Calibri"/>
          <w:b w:val="0"/>
          <w:color w:val="3A4A28"/>
          <w:sz w:val="17"/>
        </w:rPr>
        <w:t>Bausch + Lomb AI Strategy — CEO Brent Saunders, Mandatory AI Literacy Training Tied to Bonuses, Coursera Partnership, VisionAI Challenge, Fortune and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Bausch Health Debt and Litigation — $21.7B Total Debt, D/E -28.45, Altman Z-Score 0.21, Xifaxan Patent Litigation (Sun Pharma, Amneal), Antitrust Allegations (Teva Pay-for-Delay), Class Action Lawsuit, Bloomberg Law and GuruFocus, 2022-2026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BHC Key Statistics: Forward P/E 1.41x, ROE 436%, Profit Margin 1.53%, Stock Price $6.56, Avg Volume 3.76M,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