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BHP</w:t>
      </w:r>
      <w:r>
        <w:rPr>
          <w:rFonts w:ascii="Calibri" w:hAnsi="Calibri"/>
          <w:b/>
          <w:color w:val="1A2010"/>
          <w:sz w:val="40"/>
        </w:rPr>
        <w:t xml:space="preserve">  BHP Group Limited</w:t>
      </w:r>
    </w:p>
    <w:p>
      <w:pPr>
        <w:spacing w:after="120"/>
      </w:pPr>
      <w:r>
        <w:rPr>
          <w:rFonts w:ascii="Calibri" w:hAnsi="Calibri"/>
          <w:b/>
          <w:color w:val="6E8450"/>
          <w:sz w:val="18"/>
        </w:rPr>
        <w:t>DIVIDEND SLEEVE · 2026-10-21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NYQ · Australia</w:t>
      </w:r>
    </w:p>
    <w:p>
      <w:pPr>
        <w:spacing w:after="80"/>
      </w:pPr>
      <w:r>
        <w:rPr>
          <w:rFonts w:ascii="Calibri" w:hAnsi="Calibri"/>
          <w:b w:val="0"/>
          <w:color w:val="3A4A28"/>
          <w:sz w:val="20"/>
        </w:rPr>
        <w:t>BHP Group is the world's largest diversified mining company by market capitalization, producing iron ore, copper, metallurgical coal, and potash across operations in Australia, the Americas, and globally. FY2026 (ending June 2026) delivered revenue of US$58.8B (+15% YoY), underlying EBITDA of US$33B (+27%), and underlying attributable profit of US$13.2B (+30%), with copper surpassing iron ore as the largest EBITDA contributor at 54% of group earnings [1]. CEO Mike Henry transitioned to successor Brandon Craig in mid-2026. Founded 1851, headquartered in Melbourne, Australia; listed on NYSE as an ADR.</w:t>
      </w:r>
    </w:p>
    <w:p>
      <w:r>
        <w:rPr>
          <w:rFonts w:ascii="Calibri" w:hAnsi="Calibri"/>
          <w:b/>
          <w:color w:val="6E8450"/>
          <w:sz w:val="18"/>
        </w:rPr>
        <w:t>38,833 Employees · https://www.bhp.com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BHP executed a major portfolio transformation over five years — divesting its entire petroleum division through the US$28B Woodside merger (2022), acquiring OZ Minerals for A$9.6B to expand copper exposure (2023), and advancing the US$12.8B Jansen Stage 1 potash project toward first production [1][3]. Copper now generates 54% of group EBITDA, up from ~25% five years ago, validating a deliberate pivot toward future-facing commodities. AI Deployment (1/2): BHP deploys autonomous haulage fleets across Pilbara iron ore operations and uses AI for predictive maintenance, exploration data analysis, and geological modeling across 90+ mine sites, with management stating AI has moved 'beyond experimentation into day-to-day operations' [2]. No specific dollar savings publicly quantified. Market Share (2/2): World's largest mining company by market cap (~$208B), operating the single largest copper mine globally (Escondida), maintaining a dominant Pilbara iron ore position alongside Rio Tinto, and delivering approximately 2 million tonnes of copper for a second consecutive year [1]. Product Pipeline (1/2): Jansen Stage 1 potash approaching first production and Stage 2 approved, copper growth pipeline includes Escondida expansion and Resolution Copper pending permitting, but specific revenue timelines remain subject to commodity prices and regulatory approvals. R&amp;D Intensity (1/1): BHP invests meaningfully in mining technology including autonomous systems, exploration technology, and decarbonization R&amp;D, at or above industry average for diversified miners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BHP's stated purpose — 'To bring people and resources together to build a better world' — connects mining to societal progress and has guided portfolio decisions such as exiting petroleum and investing in copper for electrification and potash for food security [2]. However, the statement is generic enough that any mining peer could adopt it, and the tension between this aspirational purpose and the Samarco dam disaster limits credibility. Community Impact (1/2): BHP Foundation invests over US$100M annually in community programs near mine sites, including Indigenous reconciliation initiatives in Australia and community development in Chile, but the ongoing Samarco/Fundao dam liability — US$5.3B+ in settlements with UK Stage 2 trial pending and 200,000+ remaining claimants from the 2015 catastrophe — significantly offsets positive contributions [3]. Employee Retention (1/2): The BHP Operating System provides a consistent decision-making framework across ~39,000 employees with strong safety culture emphasis, and the orderly CEO succession from Henry to Craig reflects organizational maturity [2]. No specific voluntary turnover data available to distinguish from industry norms. Insider Buying (0/2): No evidence of meaningful net insider buying by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(39+ years of payments, yield 4.2%). Core metrics are strong: D/E of 50.5% well below the 70% target (score 1.0), ROE of 24.0% exceeds the 15% target (score 1.0), revenue growth of 18.3% YoY surpasses the 10% target (score 1.0) driven by 35% higher copper prices, and Forward P/E of 17.1 is below the 20 target (score 1.0) [1]. Profit margin of 16.7% falls short of the 20% target (score 0.84). Dividend metrics are mixed: 39 consecutive years of payments score maximum (1.0, 2x weight), and payout ratio of 68.8% scores 0.52. However, the variable dividend policy tied to commodity earnings produces only 1 consecutive year of growth (score 0.10) and a negative 5-year dividend growth CAGR of -8.5% (score 0.0, 2x weight) from the steep decline off FY2022 peak payouts. Weighted sum 7.99/12 = 6.66, rounded to 7. Daily dollar volume of ~$215M clears the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BHP demonstrates strong infinite-game characteristics through 175 years of continuous operation and a pattern of transformative portfolio decisions — exiting petroleum, pivoting to copper (now 54% of EBITDA), and committing US$12.8B to Jansen potash — that sacrifice near-term earnings optionality for long-term strategic positioning [1]. The orderly CEO transition from Henry to Craig reflects organizational maturity. However, the variable dividend policy that slashed payouts 80%+ from peak to trough prioritizes commodity cycle management over stakeholder consistency, and the Samarco dam disaster reveals gaps in operational risk governance that conflict with the stated purpose of building 'a better world'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BHP's purpose — 'To bring people and resources together to build a better world' — is partially validated by strategic decisions that clearly trace to enabling the energy transition (copper for electrification) and global food security (Jansen potash), plus 175 years of continuous operation through world wars, commodity busts, and industry transformations [1][2]. However, the Fundao dam disaster and ongoing multi-billion dollar litigation reveal that the purpose has not consistently shaped all operational decisions, and the statement itself is generic enough that any mining peer could adopt it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BHP Operating System provides a structured decision-making framework across ~39,000 employees with strong safety culture emphasis, and the orderly CEO succession from Henry to Craig reflects planned leadership transitions rather than disruptive changes [2]. However, the Samarco dam disaster revealed systemic governance failures in joint venture oversight, and no specific voluntary turnover data or employee sentiment metrics distinguish BHP from mining industry averages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BHP competes directly with Rio Tinto and Vale across multiple commodity markets and uses these rivalries constructively — competitive language focuses on operational excellence and portfolio quality rather than defeating specific rivals, and the collaborative Pilbara infrastructure relationships with Rio Tinto reflect an infinite competitive mindset focused on self-improvement [2]. Management commentary emphasizes cost-curve position and asset quality rather than market share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BHP has meaningfully evolved its portfolio — demerging South32 (2015), divesting petroleum through the US$28B Woodside merger (2022), and entering potash through the US$12.8B Jansen investment — each abandoning profitable or working businesses [1]. However, these are portfolio rebalancing moves within the same fundamental business model of large-scale resource extraction, not the transformative reinvention Sinek describes (compare Apple moving from Mac to iPhone). BHP changed what it mines, not how it creates value.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BHP demonstrates a consistent pattern of costly long-term bets — exiting the US$28B petroleum business through Woodside when oil was still profitable, acquiring OZ Minerals for A$9.6B to double down on copper, and committing US$12.8B to Jansen potash with a multi-decade return horizon [1]. Walking away from the US$49B Anglo American acquisition when the deal structure wasn't right demonstrated capital discipline. FY2026 delivered US$33B EBITDA (+27%) validating these decisions, though the US$2.3B Jansen impairment signals execution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BHP at $81.87 with a $208B market cap is the world's largest diversified miner executing a validated commodity pivot — FY2026 revenue rose 15% to US$58.8B with underlying EBITDA climbing 27% to US$33B as copper became the dominant earnings driver at 54% of group EBITDA on 35% higher realized prices [1]. The strategic repositioning toward future-facing commodities is generating tangible results: ROE of 24%, D/E of 50%, and Forward P/E of 17.1x offer reasonable value for a commodity leader positioned at the intersection of AI infrastructure demand (copper), energy transition (electrification), and food security (Jansen potash approaching production). The 4.2% dividend yield provides meaningful income, and operating cash flow of US$21.8B funds both capital returns and growth investment.</w:t>
      </w:r>
    </w:p>
    <w:p>
      <w:pPr>
        <w:spacing w:after="120"/>
      </w:pPr>
      <w:r>
        <w:rPr>
          <w:rFonts w:ascii="Calibri" w:hAnsi="Calibri"/>
          <w:b w:val="0"/>
          <w:color w:val="3A4A28"/>
          <w:sz w:val="20"/>
        </w:rPr>
        <w:t>The bear case centers on commodity cyclicality and execution risk. BHP's FY2026 results were amplified by a 35% copper price surge and record iron ore production — tailwinds unlikely to repeat, with Chinese property sector restructuring threatening iron ore demand and global recession risk potentially compressing copper prices from elevated levels [1]. The variable dividend policy produced a negative 5-year CAGR of -8.5%, with payouts declining over 80% from FY2022 peak, making BHP unreliable as an income investment despite the current yield. The US$2.3B Jansen potash impairment in FY2026 highlights execution risk on the company's largest capital project [1]. The Samarco/Fundao litigation continues with a UK Stage 2 trial pending and 200,000+ remaining claimants, carrying multi-billion dollar tail risk [3]. The CEO transition from Henry to Craig introduces leadership uncertainty, and profit margin of 16.7% below the 20% target reflects the capital-intensive nature of mining.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Copper demand tailwinds from AI data center construction, EV adoption, and grid electrification — BHP's ~2 million tonnes of annual copper production at 54% of group EBITDA positions it as a primary beneficiary of secular demand growth driven by the energy transition [1]</w:t>
      </w:r>
    </w:p>
    <w:p>
      <w:pPr>
        <w:spacing w:before="40" w:after="40"/>
        <w:ind w:left="283"/>
      </w:pPr>
      <w:r>
        <w:rPr>
          <w:rFonts w:ascii="Calibri" w:hAnsi="Calibri"/>
          <w:b/>
          <w:color w:val="4A6B25"/>
          <w:sz w:val="20"/>
        </w:rPr>
        <w:t xml:space="preserve">2. </w:t>
      </w:r>
      <w:r>
        <w:rPr>
          <w:rFonts w:ascii="Calibri" w:hAnsi="Calibri"/>
          <w:b w:val="0"/>
          <w:color w:val="3A4A28"/>
          <w:sz w:val="20"/>
        </w:rPr>
        <w:t>Jansen Stage 1 potash approaching first production with Stage 2 approved, adding an entirely new commodity vertical addressing the US$20B+ global potash market for food security with a projected 50+ year mine life [1]</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potential as copper grows to 60%+ of earnings and thermal coal exits by 2030, potentially narrowing the commodity-discount multiple toward industrial metals peers trading at 20-25x forward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cyclicality — the 35% copper price increase and record iron ore production in FY2026 may represent a near-term peak; Chinese property sector restructuring directly threatens iron ore demand, and global recession could compress both copper and iron ore simultaneously [1]</w:t>
      </w:r>
    </w:p>
    <w:p>
      <w:pPr>
        <w:spacing w:before="40" w:after="40"/>
        <w:ind w:left="283"/>
      </w:pPr>
      <w:r>
        <w:rPr>
          <w:rFonts w:ascii="Calibri" w:hAnsi="Calibri"/>
          <w:b/>
          <w:color w:val="4A6B25"/>
          <w:sz w:val="20"/>
        </w:rPr>
        <w:t xml:space="preserve">2. </w:t>
      </w:r>
      <w:r>
        <w:rPr>
          <w:rFonts w:ascii="Calibri" w:hAnsi="Calibri"/>
          <w:b w:val="0"/>
          <w:color w:val="3A4A28"/>
          <w:sz w:val="20"/>
        </w:rPr>
        <w:t>Samarco/Fundao dam litigation tail risk — UK Stage 2 trial pending with 200,000+ remaining claimants could result in multi-billion dollar additional liability beyond the US$5.3B+ already settled, plus ongoing Australian tax and royalty disputes add further contingent exposure [3]</w:t>
      </w:r>
    </w:p>
    <w:p>
      <w:pPr>
        <w:spacing w:before="40" w:after="40"/>
        <w:ind w:left="283"/>
      </w:pPr>
      <w:r>
        <w:rPr>
          <w:rFonts w:ascii="Calibri" w:hAnsi="Calibri"/>
          <w:b/>
          <w:color w:val="4A6B25"/>
          <w:sz w:val="20"/>
        </w:rPr>
        <w:t xml:space="preserve">3. </w:t>
      </w:r>
      <w:r>
        <w:rPr>
          <w:rFonts w:ascii="Calibri" w:hAnsi="Calibri"/>
          <w:b w:val="0"/>
          <w:color w:val="3A4A28"/>
          <w:sz w:val="20"/>
        </w:rPr>
        <w:t>Variable dividend unreliability — the negative 5-year dividend CAGR of -8.5% and 80%+ peak-to-trough payout decline demonstrate that BHP's commodity-linked policy delivers highly volatile income streams incompatible with consistent dividend investing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Mining is a fundamentally physical-world business — extracting, processing, and transporting bulk commodities like iron ore, copper, and potash requires massive capital assets, geological expertise, regulatory permits, and physical logistics that AI structurally cannot substitute [1]. BHP's competitive moats are resource quality (Pilbara iron ore grades, Escondida copper reserves), infrastructure (rail networks, port terminals), and sovereign relationships — none vulnerable to digital disruption. Moreover, AI is a structural demand driver for BHP's core commodity: data centers require enormous quantities of copper for wiring and electrical infrastructure, with each hyperscale facility consuming 50-100MW and requiring hundreds of tons of copper, directly increasing demand for BHP's largest earnings contributor [1][2]. AI Opportunity (0/1): BHP deploys AI operationally through autonomous haulage and predictive analytics across 90+ mine sites but does not generate direct revenue from AI products or services — AI is a cost reducer and efficiency tool, not a revenue source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BHP FY2026 Full-Year Results — Revenue US$58.8B (+15%), Underlying EBITDA US$33B (+27%), Underlying Profit US$13.2B (+30%), Copper 54% of EBITDA — SEC Form 6-K, Proactive Investors,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BHP Leadership, AI and Innovation — CEO Henry to Craig Transition, Autonomous Mining Operations, BHP Operating System, AI in Day-to-Day Operations — BHP.com, LSE RNS, 2026</w:t>
      </w:r>
    </w:p>
    <w:p>
      <w:pPr>
        <w:spacing w:before="20" w:after="20"/>
        <w:ind w:left="170"/>
      </w:pPr>
      <w:r>
        <w:rPr>
          <w:rFonts w:ascii="Calibri" w:hAnsi="Calibri"/>
          <w:b/>
          <w:color w:val="4A6B25"/>
          <w:sz w:val="15"/>
        </w:rPr>
        <w:t xml:space="preserve">3. </w:t>
      </w:r>
      <w:r>
        <w:rPr>
          <w:rFonts w:ascii="Calibri" w:hAnsi="Calibri"/>
          <w:b w:val="0"/>
          <w:color w:val="3A4A28"/>
          <w:sz w:val="17"/>
        </w:rPr>
        <w:t>BHP ESG and Legal Developments — Samarco US$5.3B+ Settlement, UK Liability Ruling, WA Royalty Dispute, Thermal Coal Exit — Mining Journal, Mining News, Sustainalytics,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