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BIIB</w:t>
      </w:r>
      <w:r>
        <w:rPr>
          <w:rFonts w:ascii="Calibri" w:hAnsi="Calibri"/>
          <w:b/>
          <w:color w:val="1A2010"/>
          <w:sz w:val="40"/>
        </w:rPr>
        <w:t xml:space="preserve">  Biogen Inc.</w:t>
      </w:r>
    </w:p>
    <w:p>
      <w:pPr>
        <w:spacing w:after="120"/>
      </w:pPr>
      <w:r>
        <w:rPr>
          <w:rFonts w:ascii="Calibri" w:hAnsi="Calibri"/>
          <w:b/>
          <w:color w:val="6E8450"/>
          <w:sz w:val="18"/>
        </w:rPr>
        <w:t>GROWTH SLEEVE · 2026-09-22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NASDAQ · United States</w:t>
      </w:r>
    </w:p>
    <w:p>
      <w:pPr>
        <w:spacing w:after="80"/>
      </w:pPr>
      <w:r>
        <w:rPr>
          <w:rFonts w:ascii="Calibri" w:hAnsi="Calibri"/>
          <w:b w:val="0"/>
          <w:color w:val="3A4A28"/>
          <w:sz w:val="20"/>
        </w:rPr>
        <w:t>Biogen discovers, develops, manufactures, and delivers therapies for neurological, neurodegenerative, and rare diseases globally. Core franchises include multiple sclerosis (TECFIDERA, TYSABRI, VUMERITY), spinal muscular atrophy (SPINRAZA), Alzheimer's disease (LEQEMBI with Eisai), and geographic atrophy (SYFOVRE, EMPAVELI via Apellis acquisition). The company reported Q2 2026 revenue of $2.7B (+3% YoY) with growth products exceeding $1B for the first time, surpassing legacy MS revenue. Full-year 2026 guidance calls for mid-single-digit revenue growth and non-GAAP EPS of $12-$13.</w:t>
      </w:r>
    </w:p>
    <w:p>
      <w:r>
        <w:rPr>
          <w:rFonts w:ascii="Calibri" w:hAnsi="Calibri"/>
          <w:b/>
          <w:color w:val="6E8450"/>
          <w:sz w:val="18"/>
        </w:rPr>
        <w:t>7,500 Employees · https://www.biogen.com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Biogen has executed meaningful portfolio diversification in the last 5 years through the $6.5B Apellis Pharmaceuticals acquisition, which brought SYFOVRE and EMPAVELI for geographic atrophy, and the LEQEMBI co-development with Eisai for Alzheimer's disease [1][2]. ZURZUVAE (postpartum depression) and SKYCLARYS (Friedreich's Ataxia) represent additional new therapeutic launches. However, the Aduhelm withdrawal was a significant commercial failure, and the MS franchise continues declining as generics erode TECFIDERA. AI Deployment (1/2): Biogen's CIO Guy Hadari is implementing AI across operations — not pursuing 'dozens of Blue Sky pilots' but carefully assessing technology needs linked to business outcomes, describing the effort as 'paving the new highways of the company' [3]. No customer-facing AI products are shipping yet. Market Share (1/2): Biogen remains a meaningful player in MS with TYSABRI and VUMERITY but is no longer the category leader as OCREVUS (Roche) has taken the lead. SPINRAZA faces erosion from Novartis's Zolgensma gene therapy. Growth products are gaining traction but have not achieved market leadership. Product Pipeline (1/2): Growth products exceeded $1B in Q2 2026 (+12% YoY), and EMPAVELI/SYFOVRE are expected to grow at mid-to-high teens through 2028 [2]. However, the next-generation pipeline beyond current launches lacks specific named products with clear launch timelines. R&amp;D Intensity (1/1): Biogen invests heavily in R&amp;D consistent with large-cap biotech peers, supporting clinical programs across neuroscience, ophthalmology, and rare disease.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Biogen's purpose is 'to pioneer neuroscience therapies that make a meaningful difference in people's lives' — clear and specific to neurological disease, identifying both the field and who they serve. However, the recent expansion into ophthalmology (Apellis) and the strategic restructuring under CEO Chris Viehbacher dilute the neuroscience focus, and the mission has not proven transformative as a competitive advantage. Community Impact (1/2): Biogen launched three Health Equity Advisory Boards in 2020 focused on therapy access, clinical trial diversity, and policy, and has matched 100% of electricity with renewable energy since 2014 [4]. These represent genuine corporate philanthropy but lack distinctive scale. Employee Retention (0/2): Multiple Glassdoor reviews describe a 'culture of fear and control' within the North America commercial organization, with toxic behaviors from leadership leaving employees 'hesitant to speak up, share ideas, or respond honestly to engagement surveys' [3]. Restructuring waves, layoffs, and ongoing reorganizations create churn and change fatigue. Insider Buying (0/2): No evidence of meaningful net insider buying by executives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sleeve weights. D/E of 44.33% scores perfectly against the 70% target (1.0), and Forward P/E of 13.25x is well below the 20x target (1.0), reflecting an attractively valued stock [5]. However, ROE of only 4.58% is far below the 15% target (0.31 with 2x weight), and profit margin of 8.32% is well below the 20% target (0.42), reflecting the cost structure drag from the Apellis integration and declining MS franchise. Revenue growth YoY of 3.4% (0.78) is modest, 5-year revenue CAGR of approximately -2% (0.20 with 2x weight) reflects years of declining revenue before the recent acquisition-driven rebound, and Forward PEG of 2.22 (0.39 with 2x weight) is above the 1.0 target. Weighted sum 4.99/10 total weight units yields infrastructure score of 5. Stock easily clears the liquidity floor at ~$240M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Biogen's infinite game credentials have deteriorated significantly under the current restructuring cycle. While the company has a 48-year history in neuroscience and a genuine therapeutic mission, the execution in recent years reveals finite-game thinking: quarterly cost optimization, serial reorganizations creating employee instability, and strategic pivots driven by financial necessity (Aduhelm withdrawal, Apellis acquisition to replace declining MS revenue) rather than mission-driven vision. CEO Viehbacher's turnaround is disciplined but transactional, and the organizational culture has eroded trust to the point where employees report fear-based management and hesitancy to share ideas.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Biogen's stated purpose of pioneering neuroscience therapies connects to a genuine medical need, and the company has stayed in neurological disease for nearly five decades. However, the recent expansion into ophthalmology (Apellis), the Aduhelm debacle, and the cost-cutting restructuring suggest the cause is no longer driving strategy — financial survival is [1][2]. The mission reads as authentic but has not shaped recent strategic decisions the way Sinek's framework requires. Leadership does not visibly reference the cause when explaining restructuring or portfolio changes.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environment. Glassdoor reviews describe leadership fostering 'a culture of fear and control that has eroded trust and collaboration,' with 'toxic behaviors from the top trickling down' and employees 'hesitant to speak up, share ideas, or respond honestly to engagement surveys' [3]. Restructuring waves, layoffs, and ongoing reorganizations have created churn and change fatigue. Comments about micromanagement and heavier centralization suggest uneven leadership experience. This is precisely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Biogen's competitive posture appears more focused on defending declining franchises and racing to commercialize acquired assets than on learning from competitors' strengths. The LEQEMBI partnership with Eisai shows some collaborative instinct, but the broader strategic narrative is about replacing lost MS revenue rather than being inspired by rivals to improve. No evidence of management commentary acknowledging competitors as worthy rivals or framing competition as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Biogen has evolved its business model through meaningful strategic shifts — the Apellis acquisition moved the company from pure neuroscience into ophthalmology, and the LEQEMBI collaboration with Eisai represents a new approach to Alzheimer's disease [2]. The willingness to write off Aduhelm and pivot shows some adaptability. However, these changes were incremental and reactive rather than transformative — driven by declining MS revenue rather than by the Just Cause demanding a new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Biogen's management has made some difficult decisions — walking away from Aduhelm after the commercial failure, investing $6.5B in the Apellis acquisition during a period of declining revenue, and maintaining R&amp;D investment in the LEQEMBI program despite uncertain commercial prospects [1][2]. CEO Viehbacher has pursued disciplined cost cuts and program pruning. However, the restructuring appears more financially driven than mission-driven, and the organizational instability it creates undermines the long-term capability Sinek values.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Biogen at 13.25x forward earnings offers deep value in large-cap biotech, with growth products now exceeding $1B quarterly and surpassing the legacy MS franchise for the first time [2]. The Apellis-acquired EMPAVELI/SYFOVRE combination is growing at mid-to-high teens and expected to sustain that pace through 2028, providing a durable new revenue engine. Q2 2026 revenue of $2.7B (+3% YoY) with raised full-year guidance to mid-single-digit growth signals the turnaround is gaining traction. Non-GAAP EPS of $12-$13 at a ~13x multiple implies the market is pricing in virtually no pipeline optionality from LEQEMBI or next-generation neuroscience programs. Free cash flow of ~$1.3B annually funds both R&amp;D investment and share repurchases.</w:t>
      </w:r>
    </w:p>
    <w:p>
      <w:pPr>
        <w:spacing w:after="120"/>
      </w:pPr>
      <w:r>
        <w:rPr>
          <w:rFonts w:ascii="Calibri" w:hAnsi="Calibri"/>
          <w:b w:val="0"/>
          <w:color w:val="3A4A28"/>
          <w:sz w:val="20"/>
        </w:rPr>
        <w:t>The bear case centers on persistent revenue headwinds and cultural dysfunction. Five-year revenue CAGR of approximately -2% reflects a company that has been shrinking, and the 3.4% YoY growth is largely acquisition-driven rather than organic [1][5]. GAAP EPS declined 85% YoY due to acquisition-related charges, and ROE of 4.58% is far below peer benchmarks, indicating the Apellis integration is consuming profitability. LEQEMBI's commercial uptake has disappointed expectations, and the Alzheimer's market remains challenging with competition from donanemab (Lilly). The cultural toxicity described in employee reviews — fear-based management, change fatigue from serial reorganizations, and eroded trust — creates execution risk for a company that needs its workforce fully engaged to commercialize new products [3]. The Inspire Impact Score of -67 (MISALIGNED) limits allocation for faith-based investors despite strong environmental practices.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Growth products exceeding $1B quarterly and expected to sustain mid-to-high teens growth through 2028 via EMPAVELI/SYFOVRE, potentially re-rating the stock as investors recognize the portfolio transformation [2]</w:t>
      </w:r>
    </w:p>
    <w:p>
      <w:pPr>
        <w:spacing w:before="40" w:after="40"/>
        <w:ind w:left="283"/>
      </w:pPr>
      <w:r>
        <w:rPr>
          <w:rFonts w:ascii="Calibri" w:hAnsi="Calibri"/>
          <w:b/>
          <w:color w:val="4A6B25"/>
          <w:sz w:val="20"/>
        </w:rPr>
        <w:t xml:space="preserve">2. </w:t>
      </w:r>
      <w:r>
        <w:rPr>
          <w:rFonts w:ascii="Calibri" w:hAnsi="Calibri"/>
          <w:b w:val="0"/>
          <w:color w:val="3A4A28"/>
          <w:sz w:val="20"/>
        </w:rPr>
        <w:t>BLA submission progress for LEQEMBI subcutaneous formulation and potential new Alzheimer's treatment data that could unlock the large under-penetrated market for early Alzheimer's intervention [1]</w:t>
      </w:r>
    </w:p>
    <w:p>
      <w:pPr>
        <w:spacing w:before="40" w:after="40"/>
        <w:ind w:left="283"/>
      </w:pPr>
      <w:r>
        <w:rPr>
          <w:rFonts w:ascii="Calibri" w:hAnsi="Calibri"/>
          <w:b/>
          <w:color w:val="4A6B25"/>
          <w:sz w:val="20"/>
        </w:rPr>
        <w:t xml:space="preserve">3. </w:t>
      </w:r>
      <w:r>
        <w:rPr>
          <w:rFonts w:ascii="Calibri" w:hAnsi="Calibri"/>
          <w:b w:val="0"/>
          <w:color w:val="3A4A28"/>
          <w:sz w:val="20"/>
        </w:rPr>
        <w:t>Forward P/E of 13.25x with non-GAAP EPS of $12-$13 creates deep value if growth products continue to scale and operating leverage improves through completion of restructuring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Legacy MS franchise decline continues to offset growth product gains — TECFIDERA faces generic competition and TYSABRI market is mature, creating a revenue headwind that acquisition-driven growth must outrun [1]</w:t>
      </w:r>
    </w:p>
    <w:p>
      <w:pPr>
        <w:spacing w:before="40" w:after="40"/>
        <w:ind w:left="283"/>
      </w:pPr>
      <w:r>
        <w:rPr>
          <w:rFonts w:ascii="Calibri" w:hAnsi="Calibri"/>
          <w:b/>
          <w:color w:val="4A6B25"/>
          <w:sz w:val="20"/>
        </w:rPr>
        <w:t xml:space="preserve">2. </w:t>
      </w:r>
      <w:r>
        <w:rPr>
          <w:rFonts w:ascii="Calibri" w:hAnsi="Calibri"/>
          <w:b w:val="0"/>
          <w:color w:val="3A4A28"/>
          <w:sz w:val="20"/>
        </w:rPr>
        <w:t>Cultural dysfunction described as 'fear and control' with toxic leadership behaviors could impair the company's ability to retain talent and execute the complex Apellis integration and LEQEMBI commercialization [3]</w:t>
      </w:r>
    </w:p>
    <w:p>
      <w:pPr>
        <w:spacing w:before="40" w:after="40"/>
        <w:ind w:left="283"/>
      </w:pPr>
      <w:r>
        <w:rPr>
          <w:rFonts w:ascii="Calibri" w:hAnsi="Calibri"/>
          <w:b/>
          <w:color w:val="4A6B25"/>
          <w:sz w:val="20"/>
        </w:rPr>
        <w:t xml:space="preserve">3. </w:t>
      </w:r>
      <w:r>
        <w:rPr>
          <w:rFonts w:ascii="Calibri" w:hAnsi="Calibri"/>
          <w:b w:val="0"/>
          <w:color w:val="3A4A28"/>
          <w:sz w:val="20"/>
        </w:rPr>
        <w:t>LEQEMBI commercial uptake has underperformed expectations in the Alzheimer's market, with competition from Lilly's donanemab and payer resistance to expensive biologic therapies creating ongoing reimbursement headwinds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Biogen's core business — drug development, clinical trials, manufacturing, and distribution of biological therapies — is deeply protected by regulatory moats. FDA approval requires multi-year clinical trials involving thousands of patients, physical manufacturing of complex biologic molecules, and regulatory submissions that AI cannot shortcut or replace [1]. The physical-world operations of drug manufacturing and cold-chain distribution are structurally immune to AI disruption. However, AI is accelerating competitor drug discovery timelines, which could compress Biogen's pipeline advantage and enable faster-follower competition in therapeutic areas like Alzheimer's and ophthalmology. Analysts have not flagged AI as a direct substitution risk to Biogen's earnings. AI Opportunity (0/1): Biogen's CIO is implementing AI internally for operational efficiency, but the company does not generate quantifiable revenue from AI-related products or services [3]. AI adoption is focused on internal 'highway paving' rather than commercial AI offerings.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Biogen Q1 2026 Earnings Release — Revenue $2.5B (+2% YoY), Non-GAAP EPS $3.57 (+18%), Growth Products $851M (+12%), April 2026</w:t>
      </w:r>
    </w:p>
    <w:p>
      <w:pPr>
        <w:spacing w:before="20" w:after="20"/>
        <w:ind w:left="170"/>
      </w:pPr>
      <w:r>
        <w:rPr>
          <w:rFonts w:ascii="Calibri" w:hAnsi="Calibri"/>
          <w:b/>
          <w:color w:val="4A6B25"/>
          <w:sz w:val="15"/>
        </w:rPr>
        <w:t xml:space="preserve">2. </w:t>
      </w:r>
      <w:r>
        <w:rPr>
          <w:rFonts w:ascii="Calibri" w:hAnsi="Calibri"/>
          <w:b w:val="0"/>
          <w:color w:val="3A4A28"/>
          <w:sz w:val="17"/>
        </w:rPr>
        <w:t>Biogen Q2 2026 Earnings Release — Revenue $2.7B (+3% YoY), Growth Products Exceeded $1B, Full-Year Outlook Raised to Mid-Single-Digit Growth, July 2026</w:t>
      </w:r>
    </w:p>
    <w:p>
      <w:pPr>
        <w:spacing w:before="20" w:after="20"/>
        <w:ind w:left="170"/>
      </w:pPr>
      <w:r>
        <w:rPr>
          <w:rFonts w:ascii="Calibri" w:hAnsi="Calibri"/>
          <w:b/>
          <w:color w:val="4A6B25"/>
          <w:sz w:val="15"/>
        </w:rPr>
        <w:t xml:space="preserve">3. </w:t>
      </w:r>
      <w:r>
        <w:rPr>
          <w:rFonts w:ascii="Calibri" w:hAnsi="Calibri"/>
          <w:b w:val="0"/>
          <w:color w:val="3A4A28"/>
          <w:sz w:val="17"/>
        </w:rPr>
        <w:t>PharmaVoice — Biogen CIO Guy Hadari on AI and Technology Strategy; Glassdoor Reviews on Biogen Culture, 2025-2026</w:t>
      </w:r>
    </w:p>
    <w:p>
      <w:pPr>
        <w:spacing w:before="20" w:after="20"/>
        <w:ind w:left="170"/>
      </w:pPr>
      <w:r>
        <w:rPr>
          <w:rFonts w:ascii="Calibri" w:hAnsi="Calibri"/>
          <w:b/>
          <w:color w:val="4A6B25"/>
          <w:sz w:val="15"/>
        </w:rPr>
        <w:t xml:space="preserve">4. </w:t>
      </w:r>
      <w:r>
        <w:rPr>
          <w:rFonts w:ascii="Calibri" w:hAnsi="Calibri"/>
          <w:b w:val="0"/>
          <w:color w:val="3A4A28"/>
          <w:sz w:val="17"/>
        </w:rPr>
        <w:t>Biogen 2025 Corporate Responsibility Report — ESG Data, Health Equity Advisory Boards, 100% Renewable Electricity Since 2014</w:t>
      </w:r>
    </w:p>
    <w:p>
      <w:pPr>
        <w:spacing w:before="20" w:after="20"/>
        <w:ind w:left="170"/>
      </w:pPr>
      <w:r>
        <w:rPr>
          <w:rFonts w:ascii="Calibri" w:hAnsi="Calibri"/>
          <w:b/>
          <w:color w:val="4A6B25"/>
          <w:sz w:val="15"/>
        </w:rPr>
        <w:t xml:space="preserve">5. </w:t>
      </w:r>
      <w:r>
        <w:rPr>
          <w:rFonts w:ascii="Calibri" w:hAnsi="Calibri"/>
          <w:b w:val="0"/>
          <w:color w:val="3A4A28"/>
          <w:sz w:val="17"/>
        </w:rPr>
        <w:t>Yahoo Finance — BIIB Key Statistics: Forward P/E 13.25x, ROE 4.58%, D/E 44.33%, PEG 2.22, Stock Price $219.07,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