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BIRK</w:t>
      </w:r>
      <w:r>
        <w:rPr>
          <w:rFonts w:ascii="Calibri" w:hAnsi="Calibri"/>
          <w:b/>
          <w:color w:val="1A2010"/>
          <w:sz w:val="40"/>
        </w:rPr>
        <w:t xml:space="preserve">  Birkenstock Holding plc</w:t>
      </w:r>
    </w:p>
    <w:p>
      <w:pPr>
        <w:spacing w:after="120"/>
      </w:pPr>
      <w:r>
        <w:rPr>
          <w:rFonts w:ascii="Calibri" w:hAnsi="Calibri"/>
          <w:b/>
          <w:color w:val="6E8450"/>
          <w:sz w:val="18"/>
        </w:rPr>
        <w:t>GROWTH SLEEVE · 2026-09-05 · Inspire: 44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Footwear &amp; Accessories · NYSE · United Kingdom</w:t>
      </w:r>
    </w:p>
    <w:p>
      <w:pPr>
        <w:spacing w:after="80"/>
      </w:pPr>
      <w:r>
        <w:rPr>
          <w:rFonts w:ascii="Calibri" w:hAnsi="Calibri"/>
          <w:b w:val="0"/>
          <w:color w:val="3A4A28"/>
          <w:sz w:val="20"/>
        </w:rPr>
        <w:t>Birkenstock Holding plc designs, manufactures, and sells footbed-based footwear products including sandals, closed-toe shoes, professional clogs, and skincare products across the Americas, EMEA, and Asia Pacific. Founded in 1774, the company owns its entire production in Germany and has a 250-year heritage of proprietary cork-latex footbed technology. CEO Oliver Reichert has led the company for 12+ years. FY2025 (ended September 2025) delivered record revenue of EUR 2.1B (+16% YoY), net profit of EUR 348M (+82%), and EPS of EUR 1.87 (+83%). FY2026 guidance targets EUR 2.30-2.35B revenue (13-15% CC growth).</w:t>
      </w:r>
    </w:p>
    <w:p>
      <w:r>
        <w:rPr>
          <w:rFonts w:ascii="Calibri" w:hAnsi="Calibri"/>
          <w:b/>
          <w:color w:val="6E8450"/>
          <w:sz w:val="18"/>
        </w:rPr>
        <w:t>6,800 Employees · https://www.birkenstock-holding.com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Birkenstock expanded from core sandals into closed-toe shoes, professional clogs, and skincare over the past 5 years, driving consistent double-digit growth and a successful October 2023 IPO, but no transformative business model pivot — the company remains a premium footbed-focused manufacturer executing the same core strategy for 250 years [1]. AI Deployment (0/2): No meaningful AI product deployment or AI-driven efficiency gains identified; as a physical manufacturing company, AI adoption is limited to potential supply chain and marketing optimization without quantified results. Market Share (2/2): Birkenstock holds a category-defining monopoly position in premium footbed sandals with a 250-year heritage brand and proprietary cork-latex footbed technology that no competitor has replicated — the brand IS the category [1][2]. Product Pipeline (1/2): Geographic expansion (APAC +31% in FY2025), 30 new retail stores added (97 total), and product line extensions into closed-toe and professional categories provide growth visibility, but no specific next-gen products with named launch dates and discrete revenue targets have been disclosed [1]. R&amp;D Intensity (1/1): Significant investment in production capacity expansion and footbed technology relative to footwear peers, with German manufacturing at scale requiring ongoing materials science and process innovation.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Birkenstock's purpose — 'to empower all people to walk the way nature intended' — is specific, thoughtful, and validated by 250 years of consistent execution around the anatomical footbed [3]. CEO Reichert articulates it distinctively: 'We're not a footwear company; we're a footbed company selling the experience of walking as nature intended.' The purpose shapes every product decision and the refusal to compromise on materials or manufacturing quality. However, the recent PE ownership (L Catterton/LVMH) introduces growth-oriented financial engineering that creates tension with the heritage mission. Community Impact (1/2): Birkenstock's commitment to maintaining all production in Germany (6,800 employees), using natural materials from transparent European sources, and implementing high environmental and social standards throughout the supply chain demonstrates genuine stakeholder consideration beyond standard corporate practices [4]. Employee Retention (1/2): 6,800 employees concentrated in German manufacturing facilities with craftsmanship tradition; CEO Reichert's 12+ year tenure provides leadership continuity. However, Glassdoor reviews cite favoritism, uneven accountability, and limited growth outside the 'inner circle,' preventing a higher score. Insider Buying (0/2): Director James Michael Chu (L Catterton-affiliated) sold 28.1 million shares at $39.18 in August 2026 — a ~$1.1B block sale representing PE stake reduction. President EMEA Mehdi Bouyakhf sold 90,000 shares in June 2026. No insider buying identified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Birkenstock's FY2025 financials are exceptionally strong: revenue of EUR 2.1B grew 16% YoY (18% CC), net profit surged 82% to EUR 348M, and EPS of EUR 1.87 grew 83% [1]. D/E of 68.69% is just within the 70% target, reflecting manageable leverage from the 2021 leveraged buyout. ROE of 12.36% approaches but falls short of the 15% target, scoring 0.82 with 2x weight. Forward P/E of 16.53 is attractively below the 20x target. Profit margin of 16.6% (EUR 348M / EUR 2.1B) is solid though below the 20% target, scoring 0.83. PEG of 1.18 is near the 1.0 target, scoring 0.91 with 2x weight. The 5-year revenue CAGR of ~24% (from FY2020 EUR 728M to FY2025 EUR 2.1B) scores maximum [1]. FY2026 guidance of EUR 2.30-2.35B (13-15% CC growth) with adjusted EBITDA of at least EUR 700M confirms continued strong execution. Liquidity floor easily cleared: ~$43 x 2.5M avg daily volume = ~$108M.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Birkenstock is one of the strongest infinite game players in consumer goods — the company has maintained its core purpose of ergonomic footbed design for 250 years through wars, industrial revolutions, ownership changes, and fashion cycles. The commitment to German manufacturing despite lower-cost alternatives, the refusal to discount or pursue fast fashion, and CEO Reichert's articulation of the company as a 'footbed company, not a footwear company' reflect deeply infinite thinking. However, the L Catterton/LVMH PE ownership and the massive $1.1B insider block sale in August 2026 introduce financial optimization pressures that test whether the heritage purpose will survive the public market era.</w:t>
      </w:r>
    </w:p>
    <w:p>
      <w:pPr>
        <w:spacing w:before="200" w:after="40"/>
      </w:pPr>
      <w:r>
        <w:rPr>
          <w:rFonts w:ascii="Calibri" w:hAnsi="Calibri"/>
          <w:b/>
          <w:color w:val="1A2010"/>
          <w:sz w:val="22"/>
        </w:rPr>
        <w:t>Just Cause</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Birkenstock's purpose — empowering people to walk as nature intended through anatomically correct footbed design — has been validated by 250 years of consistent execution, surviving multiple leadership transitions, world wars, fashion cycles, and ownership changes [1][3]. Every product decision traces back to the footbed. CEO Reichert's declaration that 'we're not a footwear company; we're a footbed company' confirms the purpose IS the competitive advantage. This is Sinek's gold standard — a Just Cause so deeply embedded that it has guided the company for a quarter millennium.</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6,800 employees concentrated in German manufacturing facilities with a strong craftsmanship tradition and the commitment to keeping production in Germany despite cost pressures signals respect for workforce expertise [2]. CEO Reichert's 12+ year tenure provides leadership stability. However, Glassdoor reviews cite favoritism within leadership, uneven accountability, limited growth opportunities outside the 'inner circle,' and corporate culture that 'can come across as out of touch with day-to-day boutique realities,' preventing a higher score.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Birkenstock's dominant position in premium footbed footwear means it faces limited direct rivalry. The company positions itself as unique rather than in competition — 'we're a footbed company' implies a category of one. While this is authentic, it doesn't reflect Sinek's worthy rival framework of acknowledging competitors'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Birkenstock has expanded from sandals into closed-toe shoes, professional footwear, skincare, and retail stores (97 globally), and completed the transition from family/PE ownership to public markets via the October 2023 IPO [1]. APAC expansion (+31% in FY2025) represents meaningful geographic evolution. These are incremental extensions of the footbed thesis rather than a transformative reinvention, but each was driven by the core mission of making the footbed accessible to more people in more contexts.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Birkenstock has consistently refused to chase fashion trends, discount products, or move production to lower-cost countries — maintaining all German manufacturing and premium pricing through periods when these decisions were costly and competitors pursued cheaper alternatives [1][2]. The company invested in production capacity expansion when demand could have justified licensing or outsourcing. CEO Reichert has publicly prioritized brand integrity over volume growth, a pattern of choosing right over easy that Sinek would cite as exemplary courage in service of a Just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Birkenstock at 16.53x forward earnings offers a rare opportunity to own a 250-year-old brand with monopoly positioning in premium footbed footwear, delivering accelerating growth and margin expansion. FY2025 revenue of EUR 2.1B grew 16% YoY (18% CC) with double-digit growth across all geographies — Americas +15%, EMEA +14%, APAC +31% — while net profit surged 82% to EUR 348M and EPS grew 83% to EUR 1.87 [1]. The company's vertically integrated German manufacturing, proprietary cork-latex footbed technology, and refusal to discount create a durable competitive moat that deepens with scale. FY2026 guidance of EUR 2.30-2.35B revenue (13-15% CC growth) with adjusted EBITDA of at least EUR 700M implies continued profitable growth, supported by the $200M share repurchase program. APAC (31% growth) represents a massive untapped vector as the brand's global awareness expands.</w:t>
      </w:r>
    </w:p>
    <w:p>
      <w:pPr>
        <w:spacing w:after="120"/>
      </w:pPr>
      <w:r>
        <w:rPr>
          <w:rFonts w:ascii="Calibri" w:hAnsi="Calibri"/>
          <w:b w:val="0"/>
          <w:color w:val="3A4A28"/>
          <w:sz w:val="20"/>
        </w:rPr>
        <w:t>The bear case centers on FX headwinds, PE ownership overhang, and single-category concentration. The gap between constant currency growth (18%) and reported growth (16%) in FY2025 reflected EUR-USD dynamics, and Q2 FY2026 showed an even wider gap (14% CC vs 7.7% reported) that could compress growth further if the dollar strengthens [1]. L Catterton's $1.1B block sale of 28.1 million shares in August 2026 creates share price pressure and signals the PE sponsor's exit timeline — further large sales could weigh on the stock as the lock-up period fully expires [5]. Birkenstock's business remains overwhelmingly dependent on footbed footwear — a single product category that could mature if the premium sandal trend normalizes. ROE of 12.36% below the 15% target and D/E of 68.69% near the 70% threshold reflect the lingering leverage from the 2021 leveraged buyout, limiting financial flexibility for aggressive capital deployment. As a relatively new public company (IPO October 2023), the stock lacks a long public track record for validating management's execution through market cycles.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Asia Pacific revenue growing 31% in FY2025 represents the most significant untapped growth vector — the region is underpenetrated relative to Americas and EMEA, and rising Asian middle-class demand for premium Western brands provides a multi-year tailwind [1]</w:t>
      </w:r>
    </w:p>
    <w:p>
      <w:pPr>
        <w:spacing w:before="40" w:after="40"/>
        <w:ind w:left="283"/>
      </w:pPr>
      <w:r>
        <w:rPr>
          <w:rFonts w:ascii="Calibri" w:hAnsi="Calibri"/>
          <w:b/>
          <w:color w:val="4A6B25"/>
          <w:sz w:val="20"/>
        </w:rPr>
        <w:t xml:space="preserve">2. </w:t>
      </w:r>
      <w:r>
        <w:rPr>
          <w:rFonts w:ascii="Calibri" w:hAnsi="Calibri"/>
          <w:b w:val="0"/>
          <w:color w:val="3A4A28"/>
          <w:sz w:val="20"/>
        </w:rPr>
        <w:t>Production capacity expansion enabling supply to match growing global demand, with continued investment in German manufacturing facilities supporting the closed-toe, professional, and new category rollouts that expand the addressable market beyond traditional sandals [1][2]</w:t>
      </w:r>
    </w:p>
    <w:p>
      <w:pPr>
        <w:spacing w:before="40" w:after="40"/>
        <w:ind w:left="283"/>
      </w:pPr>
      <w:r>
        <w:rPr>
          <w:rFonts w:ascii="Calibri" w:hAnsi="Calibri"/>
          <w:b/>
          <w:color w:val="4A6B25"/>
          <w:sz w:val="20"/>
        </w:rPr>
        <w:t xml:space="preserve">3. </w:t>
      </w:r>
      <w:r>
        <w:rPr>
          <w:rFonts w:ascii="Calibri" w:hAnsi="Calibri"/>
          <w:b w:val="0"/>
          <w:color w:val="3A4A28"/>
          <w:sz w:val="20"/>
        </w:rPr>
        <w:t>Net profit margin expansion from 16.6% (FY2025) toward 20%+ as fixed cost leverage from EUR 2.3B+ revenue scale and operational efficiencies improve profitability, with adjusted EBITDA guidance of at least EUR 700M implying EBITDA margins above 30%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FX headwinds creating a growing gap between constant currency and reported revenue growth — Q2 FY2026 showed 14% CC vs 7.7% reported, and further EUR strengthening could compress reported growth to mid-single digits despite healthy underlying demand [1]</w:t>
      </w:r>
    </w:p>
    <w:p>
      <w:pPr>
        <w:spacing w:before="40" w:after="40"/>
        <w:ind w:left="283"/>
      </w:pPr>
      <w:r>
        <w:rPr>
          <w:rFonts w:ascii="Calibri" w:hAnsi="Calibri"/>
          <w:b/>
          <w:color w:val="4A6B25"/>
          <w:sz w:val="20"/>
        </w:rPr>
        <w:t xml:space="preserve">2. </w:t>
      </w:r>
      <w:r>
        <w:rPr>
          <w:rFonts w:ascii="Calibri" w:hAnsi="Calibri"/>
          <w:b w:val="0"/>
          <w:color w:val="3A4A28"/>
          <w:sz w:val="20"/>
        </w:rPr>
        <w:t>L Catterton PE sponsor exit overhang — the August 2026 block sale of 28.1M shares ($1.1B) signals ongoing stake reduction that could create sustained selling pressure as the PE firm monetizes its pre-IPO investment [5]</w:t>
      </w:r>
    </w:p>
    <w:p>
      <w:pPr>
        <w:spacing w:before="40" w:after="40"/>
        <w:ind w:left="283"/>
      </w:pPr>
      <w:r>
        <w:rPr>
          <w:rFonts w:ascii="Calibri" w:hAnsi="Calibri"/>
          <w:b/>
          <w:color w:val="4A6B25"/>
          <w:sz w:val="20"/>
        </w:rPr>
        <w:t xml:space="preserve">3. </w:t>
      </w:r>
      <w:r>
        <w:rPr>
          <w:rFonts w:ascii="Calibri" w:hAnsi="Calibri"/>
          <w:b w:val="0"/>
          <w:color w:val="3A4A28"/>
          <w:sz w:val="20"/>
        </w:rPr>
        <w:t>Single-category concentration in footbed footwear limits diversification — if the premium sandal trend normalizes or consumer discretionary spending contracts in a recession, Birkenstock's revenue base is highly exposed to a single product category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Birkenstock's business is structurally immune to AI disruption — physical footwear manufacturing with proprietary cork-latex footbed technology, 250-year brand heritage, and German production facilities create barriers that AI cannot replicate or substitute [1][2]. The tactile, comfort-focused nature of premium footwear requires physical-world execution. Brand trust built over two and a half centuries, along with the company's vertically integrated German manufacturing, creates moats that no AI-generated product or service can erode. AI may increase demand for physical comfort products as digital work environments intensify screen time and sedentary behavior. AI Opportunity (0/1): No meaningful AI-specific revenue or AI-powered products identified. Birkenstock remains a heritage physical goods manufacturer without a technology product 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Birkenstock FY2025 Earnings Release — Record Revenue EUR 2.1B (+16% YoY, +18% CC), Net Profit EUR 348M (+82%), EPS EUR 1.87 (+83%), FY2026 Guidance EUR 2.30-2.35B Revenue — AccessNewsWire, Investing.com, December 2025</w:t>
      </w:r>
    </w:p>
    <w:p>
      <w:pPr>
        <w:spacing w:before="20" w:after="20"/>
        <w:ind w:left="170"/>
      </w:pPr>
      <w:r>
        <w:rPr>
          <w:rFonts w:ascii="Calibri" w:hAnsi="Calibri"/>
          <w:b/>
          <w:color w:val="4A6B25"/>
          <w:sz w:val="15"/>
        </w:rPr>
        <w:t xml:space="preserve">2. </w:t>
      </w:r>
      <w:r>
        <w:rPr>
          <w:rFonts w:ascii="Calibri" w:hAnsi="Calibri"/>
          <w:b w:val="0"/>
          <w:color w:val="3A4A28"/>
          <w:sz w:val="17"/>
        </w:rPr>
        <w:t>Birkenstock Brand Heritage, Manufacturing Strategy, and Sustainability — 250-Year History, German Production, Cork-Latex Footbed Technology — Forbes, Company Website, 2024-2026</w:t>
      </w:r>
    </w:p>
    <w:p>
      <w:pPr>
        <w:spacing w:before="20" w:after="20"/>
        <w:ind w:left="170"/>
      </w:pPr>
      <w:r>
        <w:rPr>
          <w:rFonts w:ascii="Calibri" w:hAnsi="Calibri"/>
          <w:b/>
          <w:color w:val="4A6B25"/>
          <w:sz w:val="15"/>
        </w:rPr>
        <w:t xml:space="preserve">3. </w:t>
      </w:r>
      <w:r>
        <w:rPr>
          <w:rFonts w:ascii="Calibri" w:hAnsi="Calibri"/>
          <w:b w:val="0"/>
          <w:color w:val="3A4A28"/>
          <w:sz w:val="17"/>
        </w:rPr>
        <w:t>Birkenstock Mission and Purpose — 'Empower All People to Walk the Way Nature Intended,' CEO Reichert 'Footbed Company' Statement — Company Website, Comparably,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Birkenstock ESG Profile — Sustainalytics 'Negligible' Controversy Level, Low ESG Risk Rating (13.5), Ethical Supply Chain Practices — Yahoo Finance, SEC 20-F, 2025</w:t>
      </w:r>
    </w:p>
    <w:p>
      <w:pPr>
        <w:spacing w:before="20" w:after="20"/>
        <w:ind w:left="170"/>
      </w:pPr>
      <w:r>
        <w:rPr>
          <w:rFonts w:ascii="Calibri" w:hAnsi="Calibri"/>
          <w:b/>
          <w:color w:val="4A6B25"/>
          <w:sz w:val="15"/>
        </w:rPr>
        <w:t xml:space="preserve">5. </w:t>
      </w:r>
      <w:r>
        <w:rPr>
          <w:rFonts w:ascii="Calibri" w:hAnsi="Calibri"/>
          <w:b w:val="0"/>
          <w:color w:val="3A4A28"/>
          <w:sz w:val="17"/>
        </w:rPr>
        <w:t>Birkenstock Insider Transactions — L Catterton Director James Chu 28.1M Share Sale ($1.1B at $39.18, August 2026), President EMEA Bouyakhf 90,000 Share Sale (June 2026) — TipRanks, GuruFocus, StockTitan,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GuruFocus, Nasdaq — BIRK Key Statistics: Forward P/E 16.53x, PEG 1.18, D/E 68.69%, ROE 12.36%, Profit Margin 16.6%, Stock Price ~$43,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