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BKKT</w:t>
      </w:r>
      <w:r>
        <w:rPr>
          <w:rFonts w:ascii="Calibri" w:hAnsi="Calibri"/>
          <w:b/>
          <w:color w:val="1A2010"/>
          <w:sz w:val="40"/>
        </w:rPr>
        <w:t xml:space="preserve">  Bakkt, Inc.</w:t>
      </w:r>
    </w:p>
    <w:p>
      <w:pPr>
        <w:spacing w:after="120"/>
      </w:pPr>
      <w:r>
        <w:rPr>
          <w:rFonts w:ascii="Calibri" w:hAnsi="Calibri"/>
          <w:b/>
          <w:color w:val="6E8450"/>
          <w:sz w:val="18"/>
        </w:rPr>
        <w:t>GROWTH SLEEVE · 2026-09-18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Digital Asset Infrastructure · NYSE · United States</w:t>
      </w:r>
    </w:p>
    <w:p>
      <w:pPr>
        <w:spacing w:after="80"/>
      </w:pPr>
      <w:r>
        <w:rPr>
          <w:rFonts w:ascii="Calibri" w:hAnsi="Calibri"/>
          <w:b w:val="0"/>
          <w:color w:val="3A4A28"/>
          <w:sz w:val="20"/>
        </w:rPr>
        <w:t>Bakkt, Inc. is a US-regulated digital asset infrastructure company providing institutional-grade platforms for cryptocurrency trading, stablecoin settlement, and AI-powered payment solutions. Following the 2025 divestiture of its loyalty rewards business, Bakkt focuses exclusively on crypto infrastructure with partnerships in stablecoin payments (DTR) and international digital asset services. Originally incubated by ICE (Intercontinental Exchange). Headquartered in Alpharetta, Georgia.</w:t>
      </w:r>
    </w:p>
    <w:p>
      <w:r>
        <w:rPr>
          <w:rFonts w:ascii="Calibri" w:hAnsi="Calibri"/>
          <w:b/>
          <w:color w:val="6E8450"/>
          <w:sz w:val="18"/>
        </w:rPr>
        <w:t>150 Employees · https://www.bakkt.com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Bakkt executed a significant strategic pivot in 2025, divesting its loyalty rewards business to focus exclusively on crypto infrastructure and stablecoin settlement, entering a cooperation agreement with Distributed Technologies Research (DTR) for AI and stablecoin payment rails [1][2]. The pivot opens a new strategic direction but is unproven — Q1 2026 revenue of $243.6M (down from $1.07B Q1 2025) reflects the loss of the loyalty business without yet demonstrating crypto revenue scale. AI Deployment (0/2): The DTR partnership includes AI capabilities for payments, and an 'Agent' product targeting AI-powered transactions is planned for Q3 2026, but no AI products are shipping and no AI revenue has been reported [1][4]. Market Share (0/2): Bakkt holds no meaningful market share in any crypto infrastructure segment. Markets TTV was approximately $241M year-to-date, a negligible share of global crypto trading volume. The company is a small player competing against Coinbase, Kraken, and Binance. Product Pipeline (1/2): Specific pipeline includes Agent launching Q3 2026, DTR technology upgrade in H2 2026 with over 200 assets at rollout, and the Zoth partnership currently at $300M annualized TPV targeting $1B by year-end [1][4]. R&amp;D Intensity (0/1): As a sub-200 employee company with ongoing losses, R&amp;D spend is limited relative to any peer.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Bakkt positions itself as a regulated crypto infrastructure provider, but the mission is generic and functional — providing 'institutional-grade digital asset services' is a business description, not a purpose that inspires beyond the obvious [2]. The company has pivoted strategy multiple times (loyalty, custody, now stablecoins), suggesting the purpose follows the market rather than leading it. Community Impact (0/2): No evidence of charitable programs, community investment, or social impact initiatives identified for Bakkt. Employee Retention (0/2): Major leadership turnover in 2025 — new CEO Akshay Naheta (from SoftBank), new CPO, new President of International operations — suggests organizational instability rather than retention [2]. The company had significant headcount reductions following the loyalty divestiture. Insider Buying (0/2): No data on insider buying identified. New CEO Naheta joined in March 2025 but no subsequent insider purchase data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declined 70.1% YoY driven by the loyalty business divestiture, with Q2 2026 revenue of $170.14M missing the $314.77M estimate significantly [1][5]. However, Q2 net income of $80.8M and EPS of $1.94 (vs. $0.07 expected) suggest improving profitability, likely including one-time acquisition-related gains from the DTR deal [5]. D/E of 0.02% reflects an essentially debt-free balance sheet. ROE of -10.17% remains negative on a TTM basis but is improving dramatically from -111.21% as the post-pivot losses narrow [5]. Forward P/E of 7.77 is attractive if sustainable profitability materializes. Profit margin of -2.78% remains slightly negative on a trailing basis despite the Q2 profit. Liquidity passes: 1.26M avg vol x $7.46 = $9.4M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Bakkt shows primarily finite game characteristics: the company has pivoted strategy multiple times in its short history (loyalty, custody, crypto infrastructure, stablecoins), suggesting it chases market opportunities rather than advancing a durable cause. The bold divestiture of the loyalty business shows some existential flexibility, but the overall pattern is reactive rather than purposeful. Leadership instability and ongoing losses further undermine the case for infinite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Bakkt does not articulate a purpose beyond building crypto infrastructure. The company has reinvented itself multiple times — from crypto custody (2018), to loyalty rewards (2020), back to crypto/stablecoin infrastructure (2025) — suggesting the mission follows opportunity rather than the other way around [2]. There is no evidence of a resilient, inclusive, or service-oriented Just Cause that has guided decisions through adversity.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Bakkt experienced wholesale leadership turnover in 2025: new CEO Akshay Naheta replaced the prior leadership, and new CPO and President of International were hired [2]. The loyalty business divestiture likely resulted in significant headcount reductions. For a company of approximately 150 employees, this level of leadership change and restructuring signals organizational instability rather than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Bakkt's strategic communications focus on capturing market share in stablecoins and crypto infrastructure, with competitive language oriented around 'capturing share' in the expanding stablecoin ecosystem rather than improving through competitive learning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2025 divestiture of the loyalty business to focus exclusively on crypto infrastructure represents meaningful strategic flexibility — the company abandoned its largest revenue source to pursue a higher-conviction bet on digital assets and stablecoins [1][2]. However, this pivot appears driven more by necessity (the loyalty business was not creating differentiated value) than by a Just Cause, and the outcome remains highly uncertain.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Naheta's decision to divest the loyalty business and concentrate on crypto/stablecoin infrastructure required genuine conviction, particularly given that it caused Q1 2026 revenue to collapse 77.2% YoY [1][2]. The DTR partnership and Agent product development represent forward-looking bets. However, the courage is somewhat diminished by the debt-free balance sheet providing significant safety cushion — the downside risk is limited by the $82.6M liquidity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Bakkt offers a speculative bet on regulated crypto infrastructure showing early profitability signs. Q2 2026 delivered a massive EPS beat of $1.94 vs. $0.07 expected with $80.8M net income, though revenue of $170.14M missed the $314.77M estimate [5]. The DTR acquisition (closed April 2026) integrates agentic AI and stablecoin payments infrastructure, and forward P/E of 7.77x implies significant earnings expectations if the trajectory holds. The debt-free balance sheet provides safety. Full-year 2026 revenue estimates have risen from $1.44B to $2.38B over 90 days, and the $2.5B transacting volume target represents meaningful growth [1][5]. The favorable US regulatory environment for crypto and Bakkt's regulated platform licenses provide a moat that pure crypto-native competitors lack.</w:t>
      </w:r>
    </w:p>
    <w:p>
      <w:pPr>
        <w:spacing w:after="120"/>
      </w:pPr>
      <w:r>
        <w:rPr>
          <w:rFonts w:ascii="Calibri" w:hAnsi="Calibri"/>
          <w:b w:val="0"/>
          <w:color w:val="3A4A28"/>
          <w:sz w:val="20"/>
        </w:rPr>
        <w:t>The fundamental problem is that Bakkt has repeatedly failed to build a sustainable business. Revenue declined 70.1% YoY, Q2 revenue of $170.14M missed expectations by 46%, and the Q2 EPS beat of $1.94 vs. $0.07 expected almost certainly includes significant one-time items related to the DTR acquisition rather than sustainable operating earnings [5]. The company has pivoted strategy four times since founding (custody, loyalty, crypto infrastructure, stablecoins/AI), raising serious questions about execution discipline. Average daily trading volume dropped from 3.05M to 1.26M shares, suggesting institutional interest is waning. ROE of -10.17% remains negative on a trailing basis. The full-year revenue estimate of $2.38B requires a dramatic H2 ramp that the current trajectory does not support. At $336M market cap, Bakkt is priced for transformation success that history suggests is unlikely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Agent product Q3 2026 launch could open a new revenue stream in AI-powered digital asset transactions, differentiating Bakkt from pure exchange competitors</w:t>
      </w:r>
    </w:p>
    <w:p>
      <w:pPr>
        <w:spacing w:before="40" w:after="40"/>
        <w:ind w:left="283"/>
      </w:pPr>
      <w:r>
        <w:rPr>
          <w:rFonts w:ascii="Calibri" w:hAnsi="Calibri"/>
          <w:b/>
          <w:color w:val="4A6B25"/>
          <w:sz w:val="20"/>
        </w:rPr>
        <w:t xml:space="preserve">2. </w:t>
      </w:r>
      <w:r>
        <w:rPr>
          <w:rFonts w:ascii="Calibri" w:hAnsi="Calibri"/>
          <w:b w:val="0"/>
          <w:color w:val="3A4A28"/>
          <w:sz w:val="20"/>
        </w:rPr>
        <w:t>DTR technology upgrade in H2 2026 with 200+ assets and Zoth partnership scaling toward $1B annualized TPV would validate the stablecoin infrastructure thesis</w:t>
      </w:r>
    </w:p>
    <w:p>
      <w:pPr>
        <w:spacing w:before="40" w:after="40"/>
        <w:ind w:left="283"/>
      </w:pPr>
      <w:r>
        <w:rPr>
          <w:rFonts w:ascii="Calibri" w:hAnsi="Calibri"/>
          <w:b/>
          <w:color w:val="4A6B25"/>
          <w:sz w:val="20"/>
        </w:rPr>
        <w:t xml:space="preserve">3. </w:t>
      </w:r>
      <w:r>
        <w:rPr>
          <w:rFonts w:ascii="Calibri" w:hAnsi="Calibri"/>
          <w:b w:val="0"/>
          <w:color w:val="3A4A28"/>
          <w:sz w:val="20"/>
        </w:rPr>
        <w:t>Favorable US crypto regulatory developments could drive institutional adoption of Bakkt's regulated trading platform, leveraging its compliance moat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collapsed 77.2% YoY to $243.6M with a net loss of $11.7M in Q1 2026, and Markets TTV of $241M YTD against a $2.5B year-end target requires exponential ramp in partner integrations</w:t>
      </w:r>
    </w:p>
    <w:p>
      <w:pPr>
        <w:spacing w:before="40" w:after="40"/>
        <w:ind w:left="283"/>
      </w:pPr>
      <w:r>
        <w:rPr>
          <w:rFonts w:ascii="Calibri" w:hAnsi="Calibri"/>
          <w:b/>
          <w:color w:val="4A6B25"/>
          <w:sz w:val="20"/>
        </w:rPr>
        <w:t xml:space="preserve">2. </w:t>
      </w:r>
      <w:r>
        <w:rPr>
          <w:rFonts w:ascii="Calibri" w:hAnsi="Calibri"/>
          <w:b w:val="0"/>
          <w:color w:val="3A4A28"/>
          <w:sz w:val="20"/>
        </w:rPr>
        <w:t>Four strategic pivots since founding (custody, loyalty, crypto infrastructure, stablecoins) demonstrate a pattern of strategic instability that may repeat, eroding investor confidence</w:t>
      </w:r>
    </w:p>
    <w:p>
      <w:pPr>
        <w:spacing w:before="40" w:after="40"/>
        <w:ind w:left="283"/>
      </w:pPr>
      <w:r>
        <w:rPr>
          <w:rFonts w:ascii="Calibri" w:hAnsi="Calibri"/>
          <w:b/>
          <w:color w:val="4A6B25"/>
          <w:sz w:val="20"/>
        </w:rPr>
        <w:t xml:space="preserve">3. </w:t>
      </w:r>
      <w:r>
        <w:rPr>
          <w:rFonts w:ascii="Calibri" w:hAnsi="Calibri"/>
          <w:b w:val="0"/>
          <w:color w:val="3A4A28"/>
          <w:sz w:val="20"/>
        </w:rPr>
        <w:t>Analyst consensus of $0.56 EPS for 2026 requires a dramatic H2 turnaround from the -$0.41 Q1 loss — any miss would likely send the stock significantly lower from its $7.68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Bakkt's regulated trading platform provides some protection through licensing requirements that AI cannot replicate — operating a US-regulated crypto exchange requires compliance infrastructure, state money transmitter licenses, and institutional custody capabilities [1][2]. However, the core business of crypto trading and settlement is highly susceptible to AI-powered competition. AI-driven trading algorithms, automated market-making, and AI-enhanced fintech platforms could compress margins or bypass Bakkt's intermediary role. The company's stablecoin and payment infrastructure faces competition from AI-native fintech startups. The business moat is regulatory rather than structural, and regulatory moats can shift with policy changes. AI Opportunity (0/1): Bakkt has announced a DTR partnership for AI-powered payments and an 'Agent' product, but no AI products are shipping and no AI-related revenue has been reported as of Q1 2026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Bakkt Q1 2026 Earnings Release — Revenue $243.6M, DTR Cooperation Agreement, $82.6M Cash — StockTitan, May 2026</w:t>
      </w:r>
    </w:p>
    <w:p>
      <w:pPr>
        <w:spacing w:before="20" w:after="20"/>
        <w:ind w:left="170"/>
      </w:pPr>
      <w:r>
        <w:rPr>
          <w:rFonts w:ascii="Calibri" w:hAnsi="Calibri"/>
          <w:b/>
          <w:color w:val="4A6B25"/>
          <w:sz w:val="15"/>
        </w:rPr>
        <w:t xml:space="preserve">2. </w:t>
      </w:r>
      <w:r>
        <w:rPr>
          <w:rFonts w:ascii="Calibri" w:hAnsi="Calibri"/>
          <w:b w:val="0"/>
          <w:color w:val="3A4A28"/>
          <w:sz w:val="17"/>
        </w:rPr>
        <w:t>Bakkt CEO Akshay Naheta and Strategic Pivot — DTR Acquisition, SoftBank Background — Clay.com, PYMNTS.com,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BKKT Key Statistics and Valuation,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Bakkt DTR Partnership, Agent Product, and Zoth Partnership — StockTitan, Investor Relations, 2025-2026</w:t>
      </w:r>
    </w:p>
    <w:p>
      <w:pPr>
        <w:spacing w:before="20" w:after="20"/>
        <w:ind w:left="170"/>
      </w:pPr>
      <w:r>
        <w:rPr>
          <w:rFonts w:ascii="Calibri" w:hAnsi="Calibri"/>
          <w:b/>
          <w:color w:val="4A6B25"/>
          <w:sz w:val="15"/>
        </w:rPr>
        <w:t xml:space="preserve">5. </w:t>
      </w:r>
      <w:r>
        <w:rPr>
          <w:rFonts w:ascii="Calibri" w:hAnsi="Calibri"/>
          <w:b w:val="0"/>
          <w:color w:val="3A4A28"/>
          <w:sz w:val="17"/>
        </w:rPr>
        <w:t>Bakkt Q2 2026 Earnings Release — Revenue $170.14M, EPS $1.94 vs $0.07 est, Net Income $80.8M, DTR Acquisition Closed — Investing.com,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