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BKR</w:t>
      </w:r>
      <w:r>
        <w:rPr>
          <w:rFonts w:ascii="Calibri" w:hAnsi="Calibri"/>
          <w:b/>
          <w:color w:val="1A2010"/>
          <w:sz w:val="40"/>
        </w:rPr>
        <w:t xml:space="preserve">  Baker Hughes Company</w:t>
      </w:r>
    </w:p>
    <w:p>
      <w:pPr>
        <w:spacing w:after="120"/>
      </w:pPr>
      <w:r>
        <w:rPr>
          <w:rFonts w:ascii="Calibri" w:hAnsi="Calibri"/>
          <w:b/>
          <w:color w:val="6E8450"/>
          <w:sz w:val="18"/>
        </w:rPr>
        <w:t>GROWTH SLEEVE · 2026-10-09 · Inspire: 51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Equipment &amp; Services · NMS · United States</w:t>
      </w:r>
    </w:p>
    <w:p>
      <w:pPr>
        <w:spacing w:after="80"/>
      </w:pPr>
      <w:r>
        <w:rPr>
          <w:rFonts w:ascii="Calibri" w:hAnsi="Calibri"/>
          <w:b w:val="0"/>
          <w:color w:val="3A4A28"/>
          <w:sz w:val="20"/>
        </w:rPr>
        <w:t>Baker Hughes provides a portfolio of technologies and services to energy and industrial value chains through Oilfield Services &amp; Equipment (OFSE) and Industrial &amp; Energy Technology (IET) segments. Q2 2026 delivered record orders of $10.5B (+49% YoY) with IET orders nearly doubling, driving record remaining performance obligations (RPO) of $40.1B including record IET RPO of $37.1B. Revenue of $6.7B declined 2% YoY while Adjusted EBITDA of $1.23B exceeded guidance. The company raised 2026 IET order guidance to $17.5-$19.5B and the Horizon 2 target to &gt;$45B for 2026-2028.</w:t>
      </w:r>
    </w:p>
    <w:p>
      <w:r>
        <w:rPr>
          <w:rFonts w:ascii="Calibri" w:hAnsi="Calibri"/>
          <w:b/>
          <w:color w:val="6E8450"/>
          <w:sz w:val="18"/>
        </w:rPr>
        <w:t>54,000 Employees · https://www.bakerhughes.com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Baker Hughes has executed a significant strategic transformation from pure-play oilfield services to an energy technology company, with the IET segment now generating ~49% of revenue with 20.6% EBITDA margin [1]. The Chart Industries acquisition further expanded industrial energy technology capabilities. Q2 2026 IET orders surged to $7.1B (2.2x book-to-bill) with record $37.1B RPO, validating the repositioning with customer demand. AI Deployment (2/2): The C3 AI joint venture (renewed through June 2028, amended four times) deploys AI solutions at industrial scale to Shell, Eni, QatarEnergy, Petronas, and ExxonMobil through the BHC3 Production Optimization application [2]. A multi-year Kuwait Oil Company contract for AI-driven automation in KOC's Ahmadi Innovation Valley was awarded in August 2026, representing active AI products shipping to customers. Market Share (1/2): Baker Hughes is a top-three oilfield services company alongside SLB and Halliburton, with record IET backlog demonstrating growing traction in LNG equipment and gas technology, but the company is not the undisputed leader in any single category [1]. Product Pipeline (1/2): IET order guidance raised to $17.5-$19.5B for 2026 with Horizon 2 target of $45B+ through 2026-2028 provides multi-year visibility, and the Cordant software platform and C3 AI partnership extend the digital product roadmap [1][2]. However, specific breakthrough product launches with granular timelines beyond the existing order book are limited. R&amp;D Intensity (1/1): 1,400+ patents granted worldwide in 2025 with approximately $600M in R&amp;D spending is well above the oilfield services industry average and demonstrates genuine technology leadership commitment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Baker Hughes' purpose of 'taking energy forward — making it safer, cleaner, and more efficient for people and the planet' connects the company's work to the energy transition and identifies a direction, but it is interchangeable with several energy service peers and does not articulate a bold future state that Sinek would recognize as a Just Cause [2]. Community Impact (0/2): Baker Hughes has achieved a 28% reduction in Scope 1 and 2 emissions versus 2019 baseline and targets 50% by 2030, and won the NOIA ESG Excellence Award [3]. However, these are environmental performance metrics, not distinctive charitable or community investment programs with specific dollar amounts. No foundation or significant community programs were identified. Employee Retention (1/2): CEO Lorenzo Simonelli's 9-year tenure since 2017 provides leadership stability, and the Chief People &amp; Culture Officer's promotion to the executive team signals investment in human capital [2]. However, Glassdoor reviews are mixed — employees praise technology modernization but cite 'unstable industry means frequent layoffs' and 'huge middle management problem.' Insider Buying (0/2): No evidence of meaningful net insider buying by CEO Simonelli or senior executives with personal funds in the last 12 months. Dividend increases and share repurchases represent corporate capital allocation, not personal conviction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(dividend yield 1.63% below 2% threshold). D/E of 80.9% is slightly above the 70% target (score 0.95, 1x weight), reflecting $16.3B total debt offset by $17.0B cash [1]. ROE of 16.5% exceeds the 15% target (score 1.0, 2x weight). Revenue growth of -2.4% YoY falls short of the 10% target (score 0.59, 1x weight), masking explosive IET order momentum beneath flat consolidated revenue. 5-year revenue CAGR of approximately 6.2% approaches the 10% target (score 0.75, 2x weight). Forward P/E of 19.1 is just below the 20 target (score 1.0, 1x weight), representing a significant valuation improvement from prior screening. Profit margin of 11.2% is below the 20% target (score 0.56, 1x weight). PEG of 1.55 falls between the 1.0 target and 3.0 floor (score 0.73, 2x weight), a significant improvement from the prior 2.66. Daily dollar volume of $438M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Baker Hughes under Lorenzo Simonelli demonstrates genuine courage in repositioning the company for the energy transition. The IET segment buildout — investing heavily in LNG technology and gas equipment while traditional oilfield services remained profitable — is now validated by record $7.1B quarterly orders and $37.1B RPO. The ecosystem approach to AI and digital partnerships (C3 AI, Microsoft Azure) reflects collaborative competitive thinking. However, the Just Cause lacks the specificity and aspiration Sinek requires, and cyclical industry layoffs create inherent tension with trust-building.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Baker Hughes' purpose of 'taking energy forward' exists but reads as an industry tagline rather than a distinctive Just Cause [2]. It describes a direction without defining a compelling future state that people would sacrifice to advance. The company's IET strategy clearly traces back to an energy transition thesis, but the purpose statement itself is interchangeable with several energy peers and does not serve as the strategic anchor Sinek describes.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Simonelli's 9-year tenure since 2017 provides organizational stability, and the promotion of the Chief People &amp; Culture Officer to the executive team signals investment in human capital [2]. The ecosystem approach with C3 AI and Microsoft Azure suggests collaborative organizational values. However, Glassdoor reviews are mixed — employees cite 'unstable industry means frequent layoffs,' 'huge middle management problem,' and 'none of senior leadership owns their decisions,' suggesting the cyclical nature of energy services creates workforce uncertainty that limits the Circle of Safety.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Baker Hughes' competitive positioning focuses on technology differentiation and an ecosystem approach (C3 AI, Microsoft Azure partnerships) rather than adversarial market-share language against SLB or Halliburton [2]. The company's strategy of building partnerships to deliver AI-powered solutions reflects using competitive dynamics as motivation to improve rather than a war to win.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strategic evolution from pure-play oilfield services to a diversified energy technology company is meaningful — IET now represents ~49% of revenue and ~53% of EBITDA with record $37.1B RPO, and Baker Hughes has entered adjacent markets in climate technology, industrial asset management, and digital solutions [1]. However, the core business model has evolved incrementally through adjacency expansion and M&amp;A rather than through a single transformative pivot that redefined the company.</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Simonelli demonstrates a pattern of costly long-term bets — investing heavily in LNG technology, gas processing, and climate solutions while traditional oilfield services remained lucrative, building the IET segment into a growth engine now generating ~49% of revenue with 20.6% EBITDA margin [1]. The Chart Industries acquisition further expanded industrial capabilities. Q2 2026 validated this strategic courage with record IET orders of $7.1B (2.2x book-to-bill) and record RPO of $37.1B, demonstrating customer demand validation for the long-term investment. R&amp;D spending of $600M and 1,400+ patents sustain the technology commitment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Baker Hughes at $56.30 is an energy technology transformation story now trading at a significantly more attractive valuation — 19.1x forward earnings with a PEG of 1.55 (down from 2.66 at prior screening) — backed by record-breaking order momentum that validates the multi-year strategic repositioning [1]. Q2 2026 orders surged 49% YoY to $10.5B with IET orders nearly doubling to $7.1B (2.2x book-to-bill), driving record RPO of $40.1B including record IET RPO of $37.1B. Management raised 2026 IET order guidance to $17.5-$19.5B and the Horizon 2 (2026-2028) target to exceed $45B. IET EBITDA margin of 20.6% (up 16% YoY) demonstrates the profitability of the technology-focused strategy, and the C3 AI partnership (renewed through 2028) with deployments at Shell, Eni, QatarEnergy, Petronas, and ExxonMobil positions BKR as a leader in industrial AI applications [2]. The Inspire Impact Score of 51 (ALIGNED) with no negative attributions and 18 positive attributions makes BKR one of the strongest faith-aligned energy holdings.</w:t>
      </w:r>
    </w:p>
    <w:p>
      <w:pPr>
        <w:spacing w:after="120"/>
      </w:pPr>
      <w:r>
        <w:rPr>
          <w:rFonts w:ascii="Calibri" w:hAnsi="Calibri"/>
          <w:b w:val="0"/>
          <w:color w:val="3A4A28"/>
          <w:sz w:val="20"/>
        </w:rPr>
        <w:t>The primary risk is the persistent disconnect between surging orders and declining revenue. Q2 2026 revenue of $6.7B declined 2% YoY despite the explosive order growth, and full-year guidance of $26.65-$28.05B implies modest improvement rather than a step-change [1]. OFSE revenue continues to weaken as North American upstream spending moderates, and this segment remains exposed to oil price volatility and OPEC+ production decisions. The massive $37.1B IET backlog carries multi-year execution risk — LNG project timelines can shift based on permitting, financing, and geopolitical factors, and Sustainalytics notes that emissions from products sold 'have been moving in the wrong direction' despite corporate emission reduction targets [3]. Profit margin of 11.2% remains well below the 20% IOWN target, reflecting the capital intensity of the equipment business. While the stock has corrected 13% from $64.82 to $56.30, creating a more attractive entry point, the revenue must eventually catch up to the record backlog to justify the valuation.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IET RPO of $37.1B with Q2 book-to-bill of 1.6x and raised Horizon 2 target of &gt;$45B provide exceptional multi-year revenue visibility as the technology-focused strategy gains customer validation [1]</w:t>
      </w:r>
    </w:p>
    <w:p>
      <w:pPr>
        <w:spacing w:before="40" w:after="40"/>
        <w:ind w:left="283"/>
      </w:pPr>
      <w:r>
        <w:rPr>
          <w:rFonts w:ascii="Calibri" w:hAnsi="Calibri"/>
          <w:b/>
          <w:color w:val="4A6B25"/>
          <w:sz w:val="20"/>
        </w:rPr>
        <w:t xml:space="preserve">2. </w:t>
      </w:r>
      <w:r>
        <w:rPr>
          <w:rFonts w:ascii="Calibri" w:hAnsi="Calibri"/>
          <w:b w:val="0"/>
          <w:color w:val="3A4A28"/>
          <w:sz w:val="20"/>
        </w:rPr>
        <w:t>IET EBITDA margin expansion to 20.6% (up 16% YoY) as the higher-margin technology business grows to represent &gt;50% of earnings, with consolidated margins expected to improve as IET revenue converts from backlog [1]</w:t>
      </w:r>
    </w:p>
    <w:p>
      <w:pPr>
        <w:spacing w:before="40" w:after="40"/>
        <w:ind w:left="283"/>
      </w:pPr>
      <w:r>
        <w:rPr>
          <w:rFonts w:ascii="Calibri" w:hAnsi="Calibri"/>
          <w:b/>
          <w:color w:val="4A6B25"/>
          <w:sz w:val="20"/>
        </w:rPr>
        <w:t xml:space="preserve">3. </w:t>
      </w:r>
      <w:r>
        <w:rPr>
          <w:rFonts w:ascii="Calibri" w:hAnsi="Calibri"/>
          <w:b w:val="0"/>
          <w:color w:val="3A4A28"/>
          <w:sz w:val="20"/>
        </w:rPr>
        <w:t>C3 AI partnership renewed through 2028 with deployments at 5+ major energy companies plus new Kuwait Oil Company AI contract (August 2026), positioning BKR as the leading industrial AI platform in energy services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OFSE segment revenue declining 5% YoY in Q2 with EBITDA down 11% — continued North American upstream spending moderation or OPEC+ production shifts could further pressure the traditional services business that still represents ~51% of revenue [1]</w:t>
      </w:r>
    </w:p>
    <w:p>
      <w:pPr>
        <w:spacing w:before="40" w:after="40"/>
        <w:ind w:left="283"/>
      </w:pPr>
      <w:r>
        <w:rPr>
          <w:rFonts w:ascii="Calibri" w:hAnsi="Calibri"/>
          <w:b/>
          <w:color w:val="4A6B25"/>
          <w:sz w:val="20"/>
        </w:rPr>
        <w:t xml:space="preserve">2. </w:t>
      </w:r>
      <w:r>
        <w:rPr>
          <w:rFonts w:ascii="Calibri" w:hAnsi="Calibri"/>
          <w:b w:val="0"/>
          <w:color w:val="3A4A28"/>
          <w:sz w:val="20"/>
        </w:rPr>
        <w:t>Revenue-backlog disconnect: consolidated revenue declined 2% YoY despite record $10.5B in quarterly orders, and failure to convert the $40.1B backlog into sustained revenue growth would undermine the transformation thesis</w:t>
      </w:r>
    </w:p>
    <w:p>
      <w:pPr>
        <w:spacing w:before="40" w:after="40"/>
        <w:ind w:left="283"/>
      </w:pPr>
      <w:r>
        <w:rPr>
          <w:rFonts w:ascii="Calibri" w:hAnsi="Calibri"/>
          <w:b/>
          <w:color w:val="4A6B25"/>
          <w:sz w:val="20"/>
        </w:rPr>
        <w:t xml:space="preserve">3. </w:t>
      </w:r>
      <w:r>
        <w:rPr>
          <w:rFonts w:ascii="Calibri" w:hAnsi="Calibri"/>
          <w:b w:val="0"/>
          <w:color w:val="3A4A28"/>
          <w:sz w:val="20"/>
        </w:rPr>
        <w:t>Product emissions moving 'in the wrong direction' per Sustainalytics despite corporate Scope 1/2 reduction targets creates potential ESG rating pressure, while Glassdoor-cited organizational challenges with middle management and layoff instability could constrain execution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Baker Hughes' core business involves physical-world operations — manufacturing compressors, turbines, and drilling equipment, building LNG processing facilities, servicing wellheads, and managing industrial assets — that AI cannot substitute [1]. The oilfield services and LNG equipment markets involve deeply regulated, safety-critical processes requiring on-site field execution with high switching costs. Record IET RPO of $37.1B reflects committed physical infrastructure projects no AI alternative can replace. The company's 1,400+ patents and $600M R&amp;D spending create additional IP-based defensive moats. Some exposure exists in engineering design and digital services, but these represent cost optimization opportunities rather than business model threats. AI Opportunity (1/1): Baker Hughes generates quantifiable AI revenue through the C3 AI joint venture (renewed through 2028) deploying BHC3 Production Optimization to Shell, Eni, QatarEnergy, Petronas, and ExxonMobil, the Cordant software platform, and the August 2026 multi-year Kuwait Oil Company contract for AI-driven automation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Baker Hughes Q2 2026 Earnings Release — Revenue $6.74B (-2% YoY), Orders $10.5B (+49%), Record RPO $40.1B, IET RPO $37.1B, Adjusted EBITDA $1.23B, Book-to-Bill 1.6x, July 2026</w:t>
      </w:r>
    </w:p>
    <w:p>
      <w:pPr>
        <w:spacing w:before="20" w:after="20"/>
        <w:ind w:left="170"/>
      </w:pPr>
      <w:r>
        <w:rPr>
          <w:rFonts w:ascii="Calibri" w:hAnsi="Calibri"/>
          <w:b/>
          <w:color w:val="4A6B25"/>
          <w:sz w:val="15"/>
        </w:rPr>
        <w:t xml:space="preserve">2. </w:t>
      </w:r>
      <w:r>
        <w:rPr>
          <w:rFonts w:ascii="Calibri" w:hAnsi="Calibri"/>
          <w:b w:val="0"/>
          <w:color w:val="3A4A28"/>
          <w:sz w:val="17"/>
        </w:rPr>
        <w:t>Baker Hughes AI and Digital Strategy — C3 AI JV Renewed Through 2028, BHC3 Deployments (Shell, Eni, QatarEnergy, Petronas, ExxonMobil), Kuwait Oil Company AI Contract (August 2026), Cordant Platform — C3.ai, Turbomachinery Mag, BusinessWire, 2019-2026</w:t>
      </w:r>
    </w:p>
    <w:p>
      <w:pPr>
        <w:spacing w:before="20" w:after="20"/>
        <w:ind w:left="170"/>
      </w:pPr>
      <w:r>
        <w:rPr>
          <w:rFonts w:ascii="Calibri" w:hAnsi="Calibri"/>
          <w:b/>
          <w:color w:val="4A6B25"/>
          <w:sz w:val="15"/>
        </w:rPr>
        <w:t xml:space="preserve">3. </w:t>
      </w:r>
      <w:r>
        <w:rPr>
          <w:rFonts w:ascii="Calibri" w:hAnsi="Calibri"/>
          <w:b w:val="0"/>
          <w:color w:val="3A4A28"/>
          <w:sz w:val="17"/>
        </w:rPr>
        <w:t>Baker Hughes ESG Performance — 28% Scope 1/2 Emissions Reduction, NOIA ESG Excellence Award, Sustainalytics Strong ESG Management Rating, Product Emissions Criticism — Hargreaves Lansdown, Sustainalytics, BKR 10-K,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