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BLSH</w:t>
      </w:r>
      <w:r>
        <w:rPr>
          <w:rFonts w:ascii="Calibri" w:hAnsi="Calibri"/>
          <w:b/>
          <w:color w:val="1A2010"/>
          <w:sz w:val="40"/>
        </w:rPr>
        <w:t xml:space="preserve">  Bullish</w:t>
      </w:r>
    </w:p>
    <w:p>
      <w:pPr>
        <w:spacing w:after="120"/>
      </w:pPr>
      <w:r>
        <w:rPr>
          <w:rFonts w:ascii="Calibri" w:hAnsi="Calibri"/>
          <w:b/>
          <w:color w:val="6E8450"/>
          <w:sz w:val="18"/>
        </w:rPr>
        <w:t>GROWTH SLEEVE · 2026-09-11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Financial Data &amp; Stock Exchanges · NYSE · Cayman Islands</w:t>
      </w:r>
    </w:p>
    <w:p>
      <w:pPr>
        <w:spacing w:after="80"/>
      </w:pPr>
      <w:r>
        <w:rPr>
          <w:rFonts w:ascii="Calibri" w:hAnsi="Calibri"/>
          <w:b w:val="0"/>
          <w:color w:val="3A4A28"/>
          <w:sz w:val="20"/>
        </w:rPr>
        <w:t>Bullish is an institutionally-focused global digital asset platform operating a regulated spot and derivatives crypto exchange (Bullish Exchange), the CoinDesk media and indices business, and a growing tokenized-securities venue under CEO Tom Farley, former President of NYSE Group. In Q2 2026 Bullish began trading its own tokenized shares on its regulated venue — the first trades of any tokenized security on the platform — and expects a new regulatory pathway to grant 'unfettered' access to U.S. derivatives markets within months, well ahead of prior timelines [1][2]. The pending $4.2B Equiniti acquisition (targeted close January 2027) will add roughly 3,000 issuer relationships and transfer-agency infrastructure to extend the tokenization strategy [2].</w:t>
      </w:r>
    </w:p>
    <w:p>
      <w:r>
        <w:rPr>
          <w:rFonts w:ascii="Calibri" w:hAnsi="Calibri"/>
          <w:b/>
          <w:color w:val="6E8450"/>
          <w:sz w:val="18"/>
        </w:rPr>
        <w:t>414 Employees · https://www.bullish.com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Bullish became the first digital asset exchange listed on the NYSE (August 2025), launched an options platform in October 2025, and in Q2 2026 executed the first-ever trades of a tokenized security on its own regulated venue — a genuine platform transformation beyond incremental product refreshes [1][2]. AI Deployment (0/2): The Q2 2026 earnings call contained no mentions of AI-powered products or quantified AI-driven cost savings; Bullish's growth narrative is entirely tokenization- and derivatives-led, not AI-led [2]. Market Share (2/2): Subscription/Services/Other revenue reached a record $62.7M in Q2 2026, up 62% YoY, and CoinDesk Indices remain the benchmark for tens of billions in institutional assets, evidencing continued share gains in institutional crypto infrastructure [1][2]. Product Pipeline (2/2): Live tokenized-share trading, a dated pathway to U.S. derivatives access 'within months,' and the Equiniti acquisition closing January 2027 (adding ~3,000 issuers) give specific, timelined visibility into the next growth leg [2]. R&amp;D Intensity (0/1): No R&amp;D-as-percent-of-revenue disclosure was found; as an exchange operator, Bullish does not break out R&amp;D separately from technology and development costs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Bullish's framing that 'the era of digital assets is only beginning' and its compliance-first, institutional-grade positioning describes what it does clearly but is largely interchangeable with peer institutional exchanges and remains untested across a full market cycle [1][3]. Community Impact (0/2): No evidence of charitable giving, a company foundation, or community investment programs was found in company materials or press coverage. Employee Retention (0/2): No tenure or voluntary-turnover data is publicly disclosed for the roughly 414-person workforce [4]. Insider Buying (0/2): No evidence of meaningful net open-market insider buying by CEO Tom Farley or other executives in the last 12 months was found; founder equity is largely structured through conversion rights tied to compensation plans rather than open-market purchases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(growth-stock weighting; no dividend). Liquidity passes comfortably ($33.88 price x ~1.10M average daily volume ≈ $37.4M &gt;&gt; $1M floor) [4]. D/E of 19% scores at the 1.0 cap (well inside the 70% target), and TTM revenue growth of 80.5% far exceeds the 10% target, also capping at 1.0 [4]. However, ROE of -44.6% floors at 0 (target ≥15%, floor 0%), Forward P/E of 64.33 sits at/beyond the 60x floor and scores 0, and profit margin is deeply negative (TTM net loss of roughly $1.0-1.4B against ~$268-301M revenue) and floors at 0 given the heavy stock-based compensation, IPO-related, and one-time charges (including $2.5M in Q2 2026 one-time compensation costs) [1][2][4]. 5yr revenue CAGR and forward PEG were excluded as not meaningful given the August 2025 IPO and negative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Bullish remains a young, newly public company (IPO August 2025) still building the evidentiary track record Sinek requires. Its compliance-first regulatory strategy and willingness to expand into adjacent, unfamiliar territory (tokenized securities, transfer agency via Equiniti) show some infinite-game instincts, but the absence of a multi-decade purpose validation, employee-culture evidence, or a distinctive Just Cause beyond industry-standard 'crypto is the future' framing keeps it in finite territory.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Bullish's belief that 'the era of digital assets is only beginning' is a widely-shared industry framing rather than a distinctive, resilient cause; it has not been tested through a full market cycle or crisis, and coverage of it remains promotional rather than decision-shaping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evidence of layoffs, turnover, or cultural instability was found, but there is also no positive evidence of exceptional employee empowerment or long tenure at the roughly 414-person organization — an unremarkable, average picture given available data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Bullish management publicly acknowledging competitors' strengths or framing competition as motivation for self-improvement; Q2 2026 coverage focuses on Bullish's own tokenization and regulatory milestones rather than competitive dynamics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Expanding from a pure crypto derivatives exchange into live tokenized-securities trading and, via the pending Equiniti deal, traditional transfer-agency services represents real adjacent-market evolution, but the core exchange business remains intact rather than being abandoned or reinvented, falling short of a fully transformative pivot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full regulatory licensing (BaFin, NYDFS, Gibraltar) and continuing to invest in tokenization infrastructure despite 'minimal' 2026 revenue contribution and management's own admission that major uplift won't arrive until 2027 reflects a costed, long-term bet over near-term earnings optimization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Bullish continues to post strong top-line growth as a newly public company, with Q2 2026 adjusted revenue of $92.6M (+62% YoY, beating the $90.2M consensus) and record Subscription/Services/Other revenue of $62.7M (+62% YoY) [1]. The company achieved a landmark in Q2 2026 by executing the first trades of a tokenized security on its own regulated venue, and management now expects 'unfettered access' to U.S. derivatives markets within months — nearly a year earlier than previously guided — via a new regulatory pathway for compliant overseas platforms [2]. The pending $4.2B Equiniti acquisition (closing targeted January 2027) will add roughly 3,000 issuer relationships, positioning Bullish to capture a multi-year tokenization opportunity that CEO Tom Farley calls 'the giant growth opportunity,' while its NYDFS, BaFin, and Gibraltar licenses create a regulatory moat versus offshore-domiciled competitors [1][2].</w:t>
      </w:r>
    </w:p>
    <w:p>
      <w:pPr>
        <w:spacing w:after="120"/>
      </w:pPr>
      <w:r>
        <w:rPr>
          <w:rFonts w:ascii="Calibri" w:hAnsi="Calibri"/>
          <w:b w:val="0"/>
          <w:color w:val="3A4A28"/>
          <w:sz w:val="20"/>
        </w:rPr>
        <w:t>The bear case centers on financial mechanics that remain unproven: Bullish posted a TTM net loss in the roughly $1.0-1.4B range against ~$268-301M of revenue, producing a -44.6% ROE and deeply negative net margin, and management explicitly stated tokenized-equity revenue contributions will be 'minimal' in 2026 with the real uplift not arriving until 2027 [1][2][4]. At a 64.33x forward P/E, the market is pricing in years of hypergrowth that a prolonged crypto bear market — Q2 2026 saw declining crypto trading volumes pressure transaction revenue even as subscription revenue grew — could delay [2][4]. The $4.2B Equiniti deal also concentrates integration risk in an unfamiliar traditional transfer-agency business, and the stalled Clarity Act (crypto market-structure legislation) leaves regulatory tailwinds for the broader tokenization thesis less certain than management's optimistic framing suggests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U.S. derivatives market access via a new regulatory pathway expected within months, nearly a year ahead of prior guidance, opening a large new addressable trading market [2]</w:t>
      </w:r>
    </w:p>
    <w:p>
      <w:pPr>
        <w:spacing w:before="40" w:after="40"/>
        <w:ind w:left="283"/>
      </w:pPr>
      <w:r>
        <w:rPr>
          <w:rFonts w:ascii="Calibri" w:hAnsi="Calibri"/>
          <w:b/>
          <w:color w:val="4A6B25"/>
          <w:sz w:val="20"/>
        </w:rPr>
        <w:t xml:space="preserve">2. </w:t>
      </w:r>
      <w:r>
        <w:rPr>
          <w:rFonts w:ascii="Calibri" w:hAnsi="Calibri"/>
          <w:b w:val="0"/>
          <w:color w:val="3A4A28"/>
          <w:sz w:val="20"/>
        </w:rPr>
        <w:t>Equiniti acquisition closing (targeted January 2027) adding ~3,000 issuer relationships and transfer-agency infrastructure to scale the tokenization strategy beyond 2026's 'minimal' contribution [2]</w:t>
      </w:r>
    </w:p>
    <w:p>
      <w:pPr>
        <w:spacing w:before="40" w:after="40"/>
        <w:ind w:left="283"/>
      </w:pPr>
      <w:r>
        <w:rPr>
          <w:rFonts w:ascii="Calibri" w:hAnsi="Calibri"/>
          <w:b/>
          <w:color w:val="4A6B25"/>
          <w:sz w:val="20"/>
        </w:rPr>
        <w:t xml:space="preserve">3. </w:t>
      </w:r>
      <w:r>
        <w:rPr>
          <w:rFonts w:ascii="Calibri" w:hAnsi="Calibri"/>
          <w:b w:val="0"/>
          <w:color w:val="3A4A28"/>
          <w:sz w:val="20"/>
        </w:rPr>
        <w:t>Continued Subscription/Services/Other revenue momentum (+62% YoY in Q2 2026) as the options platform and tokenized-share venue mature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Deeply negative profitability (-44.6% ROE, TTM net losses in the $1.0-1.4B range) driven by IPO-related and stock-based compensation charges leaves minimal balance-sheet cushion if crypto trading volumes stay weak [1][4]</w:t>
      </w:r>
    </w:p>
    <w:p>
      <w:pPr>
        <w:spacing w:before="40" w:after="40"/>
        <w:ind w:left="283"/>
      </w:pPr>
      <w:r>
        <w:rPr>
          <w:rFonts w:ascii="Calibri" w:hAnsi="Calibri"/>
          <w:b/>
          <w:color w:val="4A6B25"/>
          <w:sz w:val="20"/>
        </w:rPr>
        <w:t xml:space="preserve">2. </w:t>
      </w:r>
      <w:r>
        <w:rPr>
          <w:rFonts w:ascii="Calibri" w:hAnsi="Calibri"/>
          <w:b w:val="0"/>
          <w:color w:val="3A4A28"/>
          <w:sz w:val="20"/>
        </w:rPr>
        <w:t>Management's own admission that tokenized-equity revenue will be 'minimal' in 2026 and the major uplift won't arrive until 2027 means the core growth thesis requires a multi-year wait with execution risk along the way [2]</w:t>
      </w:r>
    </w:p>
    <w:p>
      <w:pPr>
        <w:spacing w:before="40" w:after="40"/>
        <w:ind w:left="283"/>
      </w:pPr>
      <w:r>
        <w:rPr>
          <w:rFonts w:ascii="Calibri" w:hAnsi="Calibri"/>
          <w:b/>
          <w:color w:val="4A6B25"/>
          <w:sz w:val="20"/>
        </w:rPr>
        <w:t xml:space="preserve">3. </w:t>
      </w:r>
      <w:r>
        <w:rPr>
          <w:rFonts w:ascii="Calibri" w:hAnsi="Calibri"/>
          <w:b w:val="0"/>
          <w:color w:val="3A4A28"/>
          <w:sz w:val="20"/>
        </w:rPr>
        <w:t>The $4.2B Equiniti acquisition concentrates integration risk in an unfamiliar traditional-finance business line, and the stalled Clarity Act leaves crypto market-structure regulatory tailwinds uncertain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Bullish's core business — a regulated institutional exchange requiring multi-jurisdiction licensing (NYDFS BitLicense, BaFin MiCAR, Gibraltar tokenized-securities approval) plus balance-sheet-backed market making and custody — is well defended against direct AI substitution, since AI agents cannot replicate regulatory licensing, custody trust, or issuer relationships [1][2]. This keeps the core business protected rather than immune, since AI-driven algorithmic trading agents continue to automate strategies that could pressure trading-fee economics over time. AI Opportunity (0/1): The Q2 2026 earnings call contained zero mentions of AI initiatives or AI-linked revenue; Bullish's growth is driven entirely by tokenization and derivatives expansion, so no quantified AI product revenue was identified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Bullish Q2 2026 Earnings Coverage — Yahoo Finance, Investing.com, GuruFocus transcript, BigGo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Bullish Q2 2026 Earnings Call Highlights (Tokenization Milestone, US Derivatives Access) — Yahoo Finance, August 2026</w:t>
      </w:r>
    </w:p>
    <w:p>
      <w:pPr>
        <w:spacing w:before="20" w:after="20"/>
        <w:ind w:left="170"/>
      </w:pPr>
      <w:r>
        <w:rPr>
          <w:rFonts w:ascii="Calibri" w:hAnsi="Calibri"/>
          <w:b/>
          <w:color w:val="4A6B25"/>
          <w:sz w:val="15"/>
        </w:rPr>
        <w:t xml:space="preserve">3. </w:t>
      </w:r>
      <w:r>
        <w:rPr>
          <w:rFonts w:ascii="Calibri" w:hAnsi="Calibri"/>
          <w:b w:val="0"/>
          <w:color w:val="3A4A28"/>
          <w:sz w:val="17"/>
        </w:rPr>
        <w:t>Bullish Leadership and Corporate Overview — bullish.com/about-us, Wikipedia,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BLSH Key Statistics, Financial Ratios, and Balance Sheet,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