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BLSM</w:t>
      </w:r>
      <w:r>
        <w:rPr>
          <w:rFonts w:ascii="Calibri" w:hAnsi="Calibri"/>
          <w:b/>
          <w:color w:val="1A2010"/>
          <w:sz w:val="40"/>
        </w:rPr>
        <w:t xml:space="preserve">  BlossomHill Therapeutics, Inc.</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BlossomHill Therapeutics is a clinical-stage biopharmaceutical company developing small molecule medicines that address treatment resistance in cancer. Founded in 2020 by Dr. J. Jean Cui (3 prior FDA-approved drugs) and IPO'd in August 2026 raising $168.3M in gross proceeds. Pipeline includes BH-30643 (OMNI-EGFR inhibitor for NSCLC), BH-30236 (CLK inhibitor for AML/MDS), and BH-501284 (Pan-KRAS inhibitor). Q2 2026 net loss was $23.8M with $95.4M cash pre-IPO, subsequently bolstered to ~$260M post-IPO.</w:t>
      </w:r>
    </w:p>
    <w:p>
      <w:r>
        <w:rPr>
          <w:rFonts w:ascii="Calibri" w:hAnsi="Calibri"/>
          <w:b/>
          <w:color w:val="6E8450"/>
          <w:sz w:val="18"/>
        </w:rPr>
        <w:t>69 Employees · https://bhtherapeutics.com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Founded in 2020 and IPO'd in August 2026, BlossomHill has not yet launched any products or completed any business model transformations — the company remains in the same pre-revenue clinical stage since inception [1][3]. AI Deployment (0/2): No AI-powered products or AI-driven cost savings; drug design is described as leveraging 'human intelligence and creativity' in kinase inhibition and RNA splicing, an explicitly non-AI approach [4]. Market Share (0/2): As a clinical-stage biotech with zero revenue and no approved products, BlossomHill has no market share in any therapeutic category [1]. Product Pipeline (2/2): Three specific named candidates with clear development timelines — BH-30643 (OMNI-EGFR inhibitor) in clinical trials for EGFR-mutant NSCLC, BH-30236 (macrocyclic CLK inhibitor) in clinical evaluation for R/R AML and HR-MDS, and BH-501284 (Pan-KRAS inhibitor) with preclinical data presented at AACR 2026 [3][4]. R&amp;D Intensity (1/1): As a clinical-stage biotech, virtually 100% of operating expenses are R&amp;D — Q2 2026 operating expenses of ~$23M were entirely research-driven, far exceeding any industry R&amp;D intensity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BlossomHill's purpose — developing precision medicines to overcome treatment resistance and extend survival for cancer patients — is clear, specific, and connects the company's work to a meaningful health outcome [4]. It differentiates from generic biotech missions by focusing on the specific problem of drug resistance, but it is not yet validated by decades of execution and could apply to several oncology-focused peers. Community Impact (0/2): No evidence of charitable programs or community investment for this 69-person early-stage company [3]. Employee Retention (0/2): No retention data, tenure statistics, or employee sentiment data available for a company that only recently IPO'd [3]. Insider Buying (2/2): GuruFocus reports strong insider buying by executives at BlossomHill, signaling leadership conviction in the long-term pipeline value despite the company's pre-revenue, unprofitable status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Growth stock on limited available metrics due to pre-revenue clinical-stage status. Debt-to-equity of 28.5% scores 1.0 against the 70% target, reflecting a conservatively capitalized balance sheet with $95.4M cash (pre-IPO) against $23.4M debt, subsequently strengthened by the $168.3M IPO [1][3]. Profit margin of 0.0% scores 0.0 at the floor — the company has never generated revenue and is not expected to until drug candidates achieve regulatory approval, likely years away. ROE, revenue growth, Forward P/E, and PEG are excluded as unavailable or meaningless for a pre-revenue biotech. Infrastructure score of 5 reflects the strong balance sheet offset by the complete absence of revenue or profitability metrics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BlossomHill is too young (founded 2020, IPO'd August 2026) to have been tested through the crises and market cycles that reveal infinite game thinking. The company has a genuine cause in solving cancer treatment resistance, and its founder-CEO demonstrated conviction by leaving established pharma to build this company, but the organizational infrastructure, competitive mindset, and institutional resilience needed for infinite play are not yet established.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BlossomHill's cause — extending survival for cancer patients by solving treatment resistance — is genuine and connects the company's work to something bigger than profit [4]. CEO Dr. Jean Cui's election to the National Academy of Engineering and her track record of three FDA-approved drugs validate her personal commitment to this mission. However, the cause has not been tested through crisis, leadership transition, or multi-decade consistency — the company is only six years old and has yet to prove the purpose shapes strategic decisions under pressure.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69 employees and a founding date of 2020, BlossomHill is too small and too young to have developed the organizational depth required for meaningful trust assessment [3]. No Glassdoor reviews, employee sentiment data, or retention metrics are available. The company's hiring of Dr. Geoff Oxnard (Dana-Farber/Harvard) as CMO suggests ability to attract talent, but no evidence of broader organizational trust culture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BlossomHill's competitive positioning emphasizes its proprietary OMNI-EGFR platform's differentiation from existing therapies (third-generation EGFR inhibitors like osimertinib) but does not reference learning from competitors or acknowledging rivals' strengths as motivation for improvement [3][4].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BlossomHill has not faced an existential test requiring strategic reinvention [3]. The company has been singularly focused on its small-molecule oncology pipeline since founding in 2020 — a focused approach appropriate for a clinical-stage biotech, but one that provides no evidence of willingness to make transformative strategic pivots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Dr. J. Jean Cui left an established career in pharmaceutical drug design (three FDA-approved drugs at Pfizer) to co-found BlossomHill in 2020, focusing on the specific challenge of overcoming treatment resistance in cancer [4]. Raising $257M in total funding and navigating to a successful IPO during a challenging biotech funding environment demonstrates leadership conviction. However, the company has not yet faced the existential tests — pivoting during a clinical failure, investing through a funding drought, walking away from a promising but misaligned program — that distinguish true courage from startup ambition.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BlossomHill Therapeutics at $19.69 per share represents an early-stage oncology bet with a scientifically credentialed team and differentiated pipeline. CEO Dr. J. Jean Cui brings three prior FDA-approved drugs to the table, and the $168.3M IPO (August 2026) provides approximately 3-4 years of runway at current burn rates (~$24M/quarter) [1][3]. The OMNI-EGFR inhibitor (BH-30643) targets EGFR-mutant NSCLC, a well-validated market where resistance to existing therapies (osimertinib) creates significant unmet need. Strong insider buying signals internal confidence in the pipeline [2].</w:t>
      </w:r>
    </w:p>
    <w:p>
      <w:pPr>
        <w:spacing w:after="120"/>
      </w:pPr>
      <w:r>
        <w:rPr>
          <w:rFonts w:ascii="Calibri" w:hAnsi="Calibri"/>
          <w:b w:val="0"/>
          <w:color w:val="3A4A28"/>
          <w:sz w:val="20"/>
        </w:rPr>
        <w:t>The bear case is the standard pre-revenue biotech risk profile amplified by valuation. With $626M market cap and zero revenue, BlossomHill trades entirely on pipeline optionality — a single clinical failure in BH-30643 could wipe out 50%+ of the equity value [1]. Net loss widened from $13.2M to $23.8M in Q2 2026, and the company is years away from potential FDA approval and first revenue [1]. The precision oncology space is intensely competitive, with AI-native drug discovery companies (Recursion, Insilico Medicine) potentially disrupting the traditional chemistry-driven approach that BlossomHill employs. Historical biotech base rates suggest &lt;10% probability of a clinical-stage asset reaching commercial approval, meaning the portfolio's expected value depends critically on the quality of the science — which remains unproven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BH-30643 (OMNI-EGFR) clinical data readouts in EGFR-mutant NSCLC could validate the platform and de-risk the pipeline, with a large addressable market in second-line NSCLC treatment [3][4]</w:t>
      </w:r>
    </w:p>
    <w:p>
      <w:pPr>
        <w:spacing w:before="40" w:after="40"/>
        <w:ind w:left="283"/>
      </w:pPr>
      <w:r>
        <w:rPr>
          <w:rFonts w:ascii="Calibri" w:hAnsi="Calibri"/>
          <w:b/>
          <w:color w:val="4A6B25"/>
          <w:sz w:val="20"/>
        </w:rPr>
        <w:t xml:space="preserve">2. </w:t>
      </w:r>
      <w:r>
        <w:rPr>
          <w:rFonts w:ascii="Calibri" w:hAnsi="Calibri"/>
          <w:b w:val="0"/>
          <w:color w:val="3A4A28"/>
          <w:sz w:val="20"/>
        </w:rPr>
        <w:t>Post-IPO cash position of approximately $260M provides 3-4 years of runway, sufficient to advance multiple pipeline candidates through clinical milestones without near-term dilution risk [1][3]</w:t>
      </w:r>
    </w:p>
    <w:p>
      <w:pPr>
        <w:spacing w:before="40" w:after="40"/>
        <w:ind w:left="283"/>
      </w:pPr>
      <w:r>
        <w:rPr>
          <w:rFonts w:ascii="Calibri" w:hAnsi="Calibri"/>
          <w:b/>
          <w:color w:val="4A6B25"/>
          <w:sz w:val="20"/>
        </w:rPr>
        <w:t xml:space="preserve">3. </w:t>
      </w:r>
      <w:r>
        <w:rPr>
          <w:rFonts w:ascii="Calibri" w:hAnsi="Calibri"/>
          <w:b w:val="0"/>
          <w:color w:val="3A4A28"/>
          <w:sz w:val="20"/>
        </w:rPr>
        <w:t>CEO Dr. Jean Cui's NAE election and track record of three FDA-approved drugs provide scientific credibility that could attract partnership interest from larger pharma companies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clinical-stage biotech with zero product sales and $23.8M quarterly net loss — entire $626M valuation depends on pipeline optionality with historical &lt;10% probability of clinical success [1]</w:t>
      </w:r>
    </w:p>
    <w:p>
      <w:pPr>
        <w:spacing w:before="40" w:after="40"/>
        <w:ind w:left="283"/>
      </w:pPr>
      <w:r>
        <w:rPr>
          <w:rFonts w:ascii="Calibri" w:hAnsi="Calibri"/>
          <w:b/>
          <w:color w:val="4A6B25"/>
          <w:sz w:val="20"/>
        </w:rPr>
        <w:t xml:space="preserve">2. </w:t>
      </w:r>
      <w:r>
        <w:rPr>
          <w:rFonts w:ascii="Calibri" w:hAnsi="Calibri"/>
          <w:b w:val="0"/>
          <w:color w:val="3A4A28"/>
          <w:sz w:val="20"/>
        </w:rPr>
        <w:t>EGFR-mutant NSCLC treatment landscape is intensely competitive with established players (AstraZeneca/osimertinib) and multiple next-generation inhibitors in development from larger, better-capitalized companies [3]</w:t>
      </w:r>
    </w:p>
    <w:p>
      <w:pPr>
        <w:spacing w:before="40" w:after="40"/>
        <w:ind w:left="283"/>
      </w:pPr>
      <w:r>
        <w:rPr>
          <w:rFonts w:ascii="Calibri" w:hAnsi="Calibri"/>
          <w:b/>
          <w:color w:val="4A6B25"/>
          <w:sz w:val="20"/>
        </w:rPr>
        <w:t xml:space="preserve">3. </w:t>
      </w:r>
      <w:r>
        <w:rPr>
          <w:rFonts w:ascii="Calibri" w:hAnsi="Calibri"/>
          <w:b w:val="0"/>
          <w:color w:val="3A4A28"/>
          <w:sz w:val="20"/>
        </w:rPr>
        <w:t>AI-native drug discovery platforms could outpace BlossomHill's traditional chemistry-driven approach, compressing time-to-market advantages and challenging the company's 'human intelligence and creativity' design philosophy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is a deeply regulated process requiring physical clinical trials, extensive safety monitoring, and FDA regulatory approval that AI structurally cannot replace [3]. BlossomHill's value resides in proprietary chemical IP — its macrocyclic OMNI-EGFR and CLK inhibitor platforms — and in clinical trial data from human patients that must be generated through years of rigorous testing. AI may accelerate aspects of drug discovery (target identification, molecular screening) but cannot substitute for the clinical development and regulatory pathway that comprises 80%+ of drug development time and cost. However, AI-native drug discovery companies (Recursion, Insilico Medicine) represent a competitive threat to traditional chemistry-driven approaches like BlossomHill's, preventing a higher score. AI Opportunity (0/1): No AI-driven products, services, or revenue; the company explicitly emphasizes human intelligence in drug design rather than AI-augmented discovery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BlossomHill Therapeutics Q2 2026 Financial Results — $23.8M Net Loss, $95.4M Cash Pre-IPO, IR Press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BlossomHill Therapeutics Pipeline and Insider Buying — GuruFocus Analysis, 2026</w:t>
      </w:r>
    </w:p>
    <w:p>
      <w:pPr>
        <w:spacing w:before="20" w:after="20"/>
        <w:ind w:left="170"/>
      </w:pPr>
      <w:r>
        <w:rPr>
          <w:rFonts w:ascii="Calibri" w:hAnsi="Calibri"/>
          <w:b/>
          <w:color w:val="4A6B25"/>
          <w:sz w:val="15"/>
        </w:rPr>
        <w:t xml:space="preserve">3. </w:t>
      </w:r>
      <w:r>
        <w:rPr>
          <w:rFonts w:ascii="Calibri" w:hAnsi="Calibri"/>
          <w:b w:val="0"/>
          <w:color w:val="3A4A28"/>
          <w:sz w:val="17"/>
        </w:rPr>
        <w:t>BlossomHill Therapeutics S-1/IPO Filing — $168.3M Gross Proceeds, SEC Filing, August 2026</w:t>
      </w:r>
    </w:p>
    <w:p>
      <w:pPr>
        <w:spacing w:before="20" w:after="20"/>
        <w:ind w:left="170"/>
      </w:pPr>
      <w:r>
        <w:rPr>
          <w:rFonts w:ascii="Calibri" w:hAnsi="Calibri"/>
          <w:b/>
          <w:color w:val="4A6B25"/>
          <w:sz w:val="15"/>
        </w:rPr>
        <w:t xml:space="preserve">4. </w:t>
      </w:r>
      <w:r>
        <w:rPr>
          <w:rFonts w:ascii="Calibri" w:hAnsi="Calibri"/>
          <w:b w:val="0"/>
          <w:color w:val="3A4A28"/>
          <w:sz w:val="17"/>
        </w:rPr>
        <w:t>BlossomHill Therapeutics Leadership and Pipeline — CEO Dr. J. Jean Cui NAE Election, BioSpace, Company Website,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