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BMY</w:t>
      </w:r>
      <w:r>
        <w:rPr>
          <w:rFonts w:ascii="Calibri" w:hAnsi="Calibri"/>
          <w:b/>
          <w:color w:val="1A2010"/>
          <w:sz w:val="40"/>
        </w:rPr>
        <w:t xml:space="preserve">  Bristol-Myers Squibb Company</w:t>
      </w:r>
    </w:p>
    <w:p>
      <w:pPr>
        <w:spacing w:after="120"/>
      </w:pPr>
      <w:r>
        <w:rPr>
          <w:rFonts w:ascii="Calibri" w:hAnsi="Calibri"/>
          <w:b/>
          <w:color w:val="6E8450"/>
          <w:sz w:val="18"/>
        </w:rPr>
        <w:t>DIVIDEND SLEEVE · 2026-10-05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United States</w:t>
      </w:r>
    </w:p>
    <w:p>
      <w:pPr>
        <w:spacing w:after="80"/>
      </w:pPr>
      <w:r>
        <w:rPr>
          <w:rFonts w:ascii="Calibri" w:hAnsi="Calibri"/>
          <w:b w:val="0"/>
          <w:color w:val="3A4A28"/>
          <w:sz w:val="20"/>
        </w:rPr>
        <w:t>Bristol-Myers Squibb is a global biopharmaceutical company focused on discovering, developing, and delivering innovative medicines across oncology, hematology, immunology, cardiovascular, and neuroscience. Founded in 1887 and headquartered in Princeton, NJ. Q2 2026 revenue reached $12.97B (+6% YoY), with the Growth Portfolio (Camzyos, Breyanzi, Reblozyl, Opdualag, Cobenfy) up 15% to $7.56B and now nearly 60% of total revenue, offsetting loss-of-exclusivity pressure on legacy products. The company raised full-year 2026 revenue guidance to $49.0-$50.0B and non-GAAP EPS guidance to $6.75-$7.00. CEO Chris Boerner leads the company, having taken the role in November 2024.</w:t>
      </w:r>
    </w:p>
    <w:p>
      <w:r>
        <w:rPr>
          <w:rFonts w:ascii="Calibri" w:hAnsi="Calibri"/>
          <w:b/>
          <w:color w:val="6E8450"/>
          <w:sz w:val="18"/>
        </w:rPr>
        <w:t>32,500 Employees · https://www.bms.com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BMS has executed a significant portfolio transformation over the past 5 years, growing its Growth Portfolio to nearly 60% of total revenue ($7.56B in Q2 2026, +15% YoY) to offset loss-of-exclusivity pressure on legacy blockbusters like Revlimid [1]. The Celgene acquisition ($74B, 2019), launch of Cobenfy (first new mechanism for schizophrenia in decades), and expansion of Breyanzi (CAR-T) represent multiple successful launches and a genuine business model transition. AI Deployment (1/2): BMS has expanded its partnership with Anthropic to deploy Claude AI across research, manufacturing, quality monitoring, and regulatory workflows, and has an AI antibody discovery initiative [2]. However, no specific quantified cost savings or AI-driven revenue have been reported, and one analysis described BMS's AI efforts as lacking validated measurable impact. Market Share (2/2): Eliquis is the world's leading anticoagulant with Q2 revenue of ~$4.5B (+21% YoY) and management guiding 20-25% global revenue growth for FY2026 [1]. Opdivo remains a leading PD-1 inhibitor, and Cobenfy is first-in-class for schizophrenia, defining a new category. Product Pipeline (2/2): Specific named late-stage pipeline assets with launch visibility include Admilparant, Arlo-cel, Iberdomide, Milvexian (AFib study readout Q1 2027), and Sotyktu, with management describing multibillion-dollar peak sales potential across the portfolio [1]. R&amp;D Intensity (1/1): BMS spends approximately 22% of revenue on R&amp;D (~$10.5B annually), well above the large-pharma average and in the top quartile for the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BMS's mission -- 'to discover, develop and deliver innovative medicines that help patients prevail over serious diseases' -- with a vision to be 'the world's leading biopharma company that transforms patients' lives through science,' is specific and patient-centered, consistently referenced in strategic communications [2]. It differentiates somewhat from generic pharma platitudes through the 'prevail' framing, but the mission is not the defining competitive advantage. Community Impact (2/2): The ASPIRE 10-year strategy commits to reaching more than 200,000 patients in low- and middle-income countries by 2033, and the Bristol Myers Squibb Foundation funds community-based cancer awareness, screening, and support programs for high-risk populations [3]. Clinical trial diversity is quantified: 58% of U.S. trial sites are embedded in racially and ethnically diverse metro areas. Employee Retention (0/2): Glassdoor reviews under CEO Boerner describe deteriorating culture, with one representative review stating leadership is 'entirely fear-based, with people working out of fear of losing their jobs rather than being inspired' [2]. Overall 3.6/5 culture rating with 67% recommending to a friend is mixed. No specific retention or turnover data was identified. Insider Buying (0/2): No evidence of meaningful net insider buying by CEO Boerner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across 10 weighted metrics. Forward P/E of 9.13 scores at maximum, well below the 20x target, making BMY one of the cheapest large-cap pharma names [4]. ROE of 46.6% scores fully, reflecting strong earnings generation albeit partially leveraged. Revenue growth YoY of 5.7% scores 0.86, improving as the Growth Portfolio accelerates. Revenue 5yr CAGR of ~1.2% is the primary growth drag (score 0.41), reflecting years of Revlimid patent cliff offsetting new product launches. D/E of 201.9% scores 0.43, reflecting acquisition-driven leverage. Profit margin of 18.9% scores 0.94, near the 20% target. On dividend quality, 94 consecutive years of payments (2x weight) and 17 consecutive years of increases both score fully. Payout ratio of 55.3% scores 0.75, and 5yr dividend growth CAGR of ~5.5% scores 0.92 at 2x weight. Liquidity excellent at ~$660M daily turnover. Calculation: weighted sum 10.22 / max 12 =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BMS shows elements of long-term thinking -- a 94-year unbroken dividend record, the decade-long ASPIRE commitment to expand medicine access in low- and middle-income countries, and sustained R&amp;D investment through a difficult patent-cliff transition rather than simply harvesting legacy franchises. But Glassdoor reviews describing fear-based leadership culture under CEO Boerner, no specific evidence of costly principled decisions beyond standard pharma portfolio management, and pipeline delays driven by operational challenges rather than deliberate strategic patience keep this in finite-leaning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ASPIRE strategy's specific 2033 target of reaching 200,000+ patients in low- and middle-income countries, combined with Foundation-funded cancer screening programs for high-risk populations, gives real substance to the 'help patients prevail over serious diseases' mission [3]. The 139-year corporate history demonstrates endurance. However, the framing is common across large pharma -- most competitors could articulate a similar purpose -- and it has not been distinctively tested through a defining crisis where the cause drove a costly, counter-conventional strategic decision.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BMS is a large, stable organization of 32,500 employees with consistent leadership and established operational processes. The 67% Glassdoor recommendation rate and 3.6/5 culture rating suggest adequate baseline trust [2]. However, specific reviews describe deteriorating culture under CEO Boerner's leadership with 'fear-based' management and 'constant layoffs,' which prevent a higher score. No exceptional trust or empowerment evidence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was found characterizing BMS's competitive posture toward Merck, Pfizer, Roche, or AbbVie in learning-oriented terms. The competitive narrative focuses on Growth Portfolio momentum and pipeline advancement rather than acknowledging specific areas where rivals push BMS to improve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Successfully rebuilding the revenue base around a Growth Portfolio (Camzyos, Breyanzi, Cobenfy, Opdualag, Reblozyl) now approaching 60% of total revenue, in direct response to Revlimid and other legacy patent cliffs, demonstrates real adaptive capacity [1]. The $74B Celgene acquisition in 2019 was a transformative bet. However, this is standard pharma lifecycle portfolio management -- every major pharma company must navigate patent cliffs -- rather than a Sinek-level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decisions that sacrificed near-term earnings for principled long-term capability building was identified beyond standard pharmaceutical R&amp;D investment [1]. Pipeline delays (Milvexian AFib to Q1 2027, Cobenfy ADEPT to early 2027) were driven by slower enrollment rather than deliberate strategic patience. The Celgene acquisition, while transformative, was the prior CEO's decision. Under CEO Boerner, the focus appears to be on operational execution and cost optimization rather than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Bristol-Myers Squibb's Growth Portfolio transition is accelerating -- Q2 2026 revenue of $12.97B (+6% YoY) was driven by 15% growth in the Growth Portfolio to $7.56B, now nearly 60% of total revenue, successfully offsetting legacy loss-of-exclusivity pressure [1]. Eliquis alone is guided for 20-25% global revenue growth in 2026 with quarterly revenue of ~$4.5B. Management raised full-year 2026 guidance to $49.0-$50.0B in revenue and $6.75-$7.00 in non-GAAP EPS. The stock trades at a Forward P/E of just 9.1x with a 4.1% dividend yield backed by 94 consecutive years of payments and 17 consecutive years of increases -- an unusually inexpensive valuation for a $122B market cap pharma with a genuinely accelerating growth portfolio [4]. ROE of 46.6% and $8.1B in annual free cash flow support both the dividend and continued R&amp;D investment in a late-stage pipeline (Admilparant, Arlo-cel, Iberdomide, Milvexian, Sotyktu) with multibillion-dollar peak sales potential.</w:t>
      </w:r>
    </w:p>
    <w:p>
      <w:pPr>
        <w:spacing w:after="120"/>
      </w:pPr>
      <w:r>
        <w:rPr>
          <w:rFonts w:ascii="Calibri" w:hAnsi="Calibri"/>
          <w:b w:val="0"/>
          <w:color w:val="3A4A28"/>
          <w:sz w:val="20"/>
        </w:rPr>
        <w:t>The bear case centers on balance sheet leverage, patent cliff execution risk, and organizational health. D/E of 201.9% is elevated, a legacy of the $74B Celgene acquisition, and while ROE of 46.6% looks strong, it is partly a function of that leverage rather than pure operating efficiency [4]. Revenue 5yr CAGR of just 1.2% reveals that years of Revlimid generic erosion have barely been offset by the Growth Portfolio -- the market needs sustained proof that the inflection is durable. Two pipeline readouts were delayed in 2026 (Milvexian AFib to Q1 2027, Cobenfy ADEPT to early 2027) due to slower enrollment, reminding investors that clinical execution risk persists [1]. Glassdoor reviews describing 'fear-based leadership' and deteriorating culture under CEO Boerner raise questions about organizational health during a period requiring sustained commercial and R&amp;D execution [2]. The PEG ratio of 17.0 suggests the market prices in very modest growth, and the Inspire Impact Score of -67 (MISALIGNED) due to Abortion Activism and LGBT Activism may limit faith-based allocation despite strong healthcare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Growth Portfolio momentum (currently +15% YoY, ~60% of total revenue) sustaining the offset against legacy loss-of-exclusivity pressure through H2 2026 and into 2027 [1]</w:t>
      </w:r>
    </w:p>
    <w:p>
      <w:pPr>
        <w:spacing w:before="40" w:after="40"/>
        <w:ind w:left="283"/>
      </w:pPr>
      <w:r>
        <w:rPr>
          <w:rFonts w:ascii="Calibri" w:hAnsi="Calibri"/>
          <w:b/>
          <w:color w:val="4A6B25"/>
          <w:sz w:val="20"/>
        </w:rPr>
        <w:t xml:space="preserve">2. </w:t>
      </w:r>
      <w:r>
        <w:rPr>
          <w:rFonts w:ascii="Calibri" w:hAnsi="Calibri"/>
          <w:b w:val="0"/>
          <w:color w:val="3A4A28"/>
          <w:sz w:val="20"/>
        </w:rPr>
        <w:t>Pivotal pipeline readouts expected by year-end 2026 across Admilparant, Arlo-cel, Iberdomide, and Sotyktu, with Milvexian (AFib) and Cobenfy (ADEPT) readouts in early 2027 -- any positive result could unlock multibillion-dollar peak sales and re-rate the stock [1]</w:t>
      </w:r>
    </w:p>
    <w:p>
      <w:pPr>
        <w:spacing w:before="40" w:after="40"/>
        <w:ind w:left="283"/>
      </w:pPr>
      <w:r>
        <w:rPr>
          <w:rFonts w:ascii="Calibri" w:hAnsi="Calibri"/>
          <w:b/>
          <w:color w:val="4A6B25"/>
          <w:sz w:val="20"/>
        </w:rPr>
        <w:t xml:space="preserve">3. </w:t>
      </w:r>
      <w:r>
        <w:rPr>
          <w:rFonts w:ascii="Calibri" w:hAnsi="Calibri"/>
          <w:b w:val="0"/>
          <w:color w:val="3A4A28"/>
          <w:sz w:val="20"/>
        </w:rPr>
        <w:t>Eliquis global revenue growth of 20-25% guided for 2026, providing a $18B+ annual cash-flow bridge while the Growth Portfolio scales toward eventual replacement of all legacy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201.9%, $45B total debt) constrains balance sheet flexibility for further pipeline-building M&amp;A and creates vulnerability if revenue growth disappoints [4]</w:t>
      </w:r>
    </w:p>
    <w:p>
      <w:pPr>
        <w:spacing w:before="40" w:after="40"/>
        <w:ind w:left="283"/>
      </w:pPr>
      <w:r>
        <w:rPr>
          <w:rFonts w:ascii="Calibri" w:hAnsi="Calibri"/>
          <w:b/>
          <w:color w:val="4A6B25"/>
          <w:sz w:val="20"/>
        </w:rPr>
        <w:t xml:space="preserve">2. </w:t>
      </w:r>
      <w:r>
        <w:rPr>
          <w:rFonts w:ascii="Calibri" w:hAnsi="Calibri"/>
          <w:b w:val="0"/>
          <w:color w:val="3A4A28"/>
          <w:sz w:val="20"/>
        </w:rPr>
        <w:t>Pipeline execution risk exemplified by 2026 delays -- Milvexian AFib readout pushed to Q1 2027 and Cobenfy ADEPT to early 2027 due to slower enrollment -- could recur across the remaining late-stage portfolio [1]</w:t>
      </w:r>
    </w:p>
    <w:p>
      <w:pPr>
        <w:spacing w:before="40" w:after="40"/>
        <w:ind w:left="283"/>
      </w:pPr>
      <w:r>
        <w:rPr>
          <w:rFonts w:ascii="Calibri" w:hAnsi="Calibri"/>
          <w:b/>
          <w:color w:val="4A6B25"/>
          <w:sz w:val="20"/>
        </w:rPr>
        <w:t xml:space="preserve">3. </w:t>
      </w:r>
      <w:r>
        <w:rPr>
          <w:rFonts w:ascii="Calibri" w:hAnsi="Calibri"/>
          <w:b w:val="0"/>
          <w:color w:val="3A4A28"/>
          <w:sz w:val="20"/>
        </w:rPr>
        <w:t>Five-year revenue CAGR of just 1.2% reflects persistent legacy loss-of-exclusivity drag; the market requires sustained multi-quarter proof that Growth Portfolio acceleration is durable before re-rating from the current 9.1x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manufacturing, FDA regulatory approval, clinical trial execution, and pharmaceutical distribution involve physical-world operations and deeply regulated processes that AI structurally cannot displace -- you cannot AI-generate an FDA-approved drug [1]. However, AI IS accelerating drug discovery at competitors (Roche, AstraZeneca, Merck), creating competitive pressure on BMS's R&amp;D productivity, and the company's own 10-K acknowledges risks from 'flawed algorithms and biased, incomplete or inaccurate data' in its AI programs [2]. BMS is PROTECTED rather than IMMUNE because while the core business model is defensible, AI-enabled competitors could develop superior drugs faster, compressing BMS's competitive position in specific therapeutic categories over time. AI Opportunity (0/1): BMS has expanded its Anthropic/Claude AI deployment across research, manufacturing, quality, and regulatory workflows, and has an AI antibody discovery initiative, but no specific quantified AI-attributable revenue or cost savings have been reported [2]. AI functions as an operational accelerant, not a distinct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Bristol-Myers Squibb Q2 2026 Earnings Release — Revenue $12.97B (+6% YoY), Growth Portfolio +15% to $7.56B, Raised FY2026 Guidance to $49-50B Revenue and $6.75-7.00 EPS, Pipeline Updates — SEC 8-K,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Bristol Myers Squibb AI Strategy and Culture — Anthropic/Claude Expansion, AI Antibody Discovery, CEO Chris Boerner, Glassdoor Reviews (3.6/5 Culture, 67% Recommend) — Zamann Pharma, Simply Wall St,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Bristol Myers Squibb ESG and Community Impact — ASPIRE 10-Year LMIC Strategy (200,000 Patients by 2033), BMS Foundation Cancer Screening, 58% Diverse Trial Sites, DJSI North America — BusinessWire, 3BLMedia,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BMY Key Statistics: Stock Price $59.92, Forward P/E 9.13, D/E 201.9%, ROE 46.6%, Profit Margin 18.9%, Dividend Yield 4.12%, 94 Years Paid,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