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BNAI</w:t>
      </w:r>
      <w:r>
        <w:rPr>
          <w:rFonts w:ascii="Calibri" w:hAnsi="Calibri"/>
          <w:b/>
          <w:color w:val="1A2010"/>
          <w:sz w:val="40"/>
        </w:rPr>
        <w:t xml:space="preserve">  Brand Engagement Network, Inc.</w:t>
      </w:r>
    </w:p>
    <w:p>
      <w:pPr>
        <w:spacing w:after="120"/>
      </w:pPr>
      <w:r>
        <w:rPr>
          <w:rFonts w:ascii="Calibri" w:hAnsi="Calibri"/>
          <w:b/>
          <w:color w:val="6E8450"/>
          <w:sz w:val="18"/>
        </w:rPr>
        <w:t>GROWTH SLEEVE · 2026-10-09 · Inspire: 38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NCM · United States</w:t>
      </w:r>
    </w:p>
    <w:p>
      <w:pPr>
        <w:spacing w:after="80"/>
      </w:pPr>
      <w:r>
        <w:rPr>
          <w:rFonts w:ascii="Calibri" w:hAnsi="Calibri"/>
          <w:b w:val="0"/>
          <w:color w:val="3A4A28"/>
          <w:sz w:val="20"/>
        </w:rPr>
        <w:t>Brand Engagement Network provides enterprise-grade conversational AI solutions built on proprietary natural language processing, multisensory awareness, sentiment analysis, and real-time personalization capabilities. Its AI agents serve automotive (13,000+ dealership network), healthcare, and financial services industries. Formerly Blockchain Exchange Network, the company rebranded in April 2023. BEN acquired Cataneo GmbH on June 30, 2026, adding the MYDAS advertising platform and approximately $5.3M in H1 2026 acquired revenue. Organic TTM revenue is approximately $524K. Market cap ~$40M with 29 full-time employees and Interim CEO Janine Grasso (appointed July 2025).</w:t>
      </w:r>
    </w:p>
    <w:p>
      <w:r>
        <w:rPr>
          <w:rFonts w:ascii="Calibri" w:hAnsi="Calibri"/>
          <w:b/>
          <w:color w:val="6E8450"/>
          <w:sz w:val="18"/>
        </w:rPr>
        <w:t>29 Employees · https://www.brandengagementnetwork.com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BEN rebranded from Blockchain Exchange Network in April 2023, pivoting from blockchain to conversational AI — a trend-chasing rebrand rather than organic innovation [1]. Organic revenue remains negligible at $104K (Q1 2026) and $160K (Q2 2026) despite being founded in 2018. The Cataneo GmbH acquisition (June 30, 2026) adds the MYDAS ad-tech platform and $5.3M in H1 2026 acquired revenue but represents inorganic scale, not product innovation [1]. AI Deployment (1/2): BEN ships conversational AI agents powered by its proprietary Engagement Language Model (ELM) and RAG architecture for text, voice, and avatar-based experiences, with an automotive agent targeting 13,000+ dealerships [2]. Products exist in-market but organic Q2 2026 revenue of $160K indicates negligible commercial adoption. Market Share (0/2): With $160K organic quarterly revenue and 29 employees, BEN has no measurable market share against OpenAI, Google CCAI, Microsoft Copilot, Amazon Lex, and Salesforce Einstein in conversational AI [2]. Pipeline (1/2): The Cataneo MYDAS platform integration with BEN's AI technology targets advertising inventory management, and the African licensing partnership provides geographic expansion, but no specific next-generation products have been announced with timelines [1]. R&amp;D Intensity (0/1): As a pre-revenue micro-cap, R&amp;D spending cannot be meaningfully benchmarked against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BEN's stated purpose of transforming customer engagement through conversational AI is generic and interchangeable with dozens of AI chatbot startups [2]. The blockchain-to-AI pivot in 2023 suggests the mission follows market trends rather than deeply held conviction. Community Impact (0/2): No evidence of charitable programs, community investment, or philanthropic initiatives for a 29-person company generating negligible organic revenue. Employee Retention (0/2): Significant leadership instability — Paul Chang promoted to CEO August 2024, replaced by Interim CEO Janine Grasso in July 2025, who remains in interim capacity over a year later [2]. Two CEO changes in under a year signals organizational disruption incompatible with retention. No employee tenure or turnover data available. Insider Buying (0/2): No evidence of meaningful open-market insider purchases by executives; the micro-cap status and thin trading volume suggest limited insider conviction beyond compensation-related transactions.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141,914 shares x $5.29 stock price = $750,724 daily dollar volume, falling below the $1,000,000 IOWN minimum [1]. Infrastructure score automatically set to 0. Underlying fundamentals are extremely weak: negative ROE of -98.1%, zero profit margin, negative forward P/E of -9.8x (indicating projected losses), and TTM organic revenue of just $524K [1]. The stock has declined from $15.90 to $5.29 (-67%) since August 2026, compressing the market cap to ~$40M and pushing daily dollar volume below the liquidity threshold. Going-concern doubt was previously disclosed with cash of $708K against quarterly operating losses exceeding $3M. The Cataneo acquisition adds revenue but also integration burden for a severely resource-constrained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Brand Engagement Network exhibits classic finite game characteristics: trend-chasing pivots (blockchain to AI in 2023), leadership instability (two CEO changes in 12 months, interim CEO for over a year), and a business model driven by market hype rather than durable purpose. The 67% stock price decline from $15.90 to $5.29 since August 2026, going-concern doubt, and survival-mode cash position indicate a company playing to survive, not to endure. The Cataneo acquisition looks like a survival play rather than a purpose-driven strategic move.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BEN pivoted from Blockchain Exchange Network to Brand Engagement Network in April 2023, chasing the AI hype cycle after blockchain interest waned [1][2]. The company articulates no vision of a better future beyond generic AI customer engagement — it exists to monetize a technology wave. This trend-following pattern is the antithesis of a durable Just Cause that would survive the current management team or market cycle.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29 employees, an interim CEO serving over a year, and two CEO changes in 12 months, the organizational foundation for trust is fragile [2]. The leadership instability creates uncertainty that disproportionately affects a company this small. No Glassdoor reviews, employee retention data, or cultural assessments are available. The blockchain-to-AI pivot, Cataneo integration, and disclosed going-concern risk compound employee uncertainty.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BEN's leadership acknowledging the overwhelming strength of competitors like OpenAI, Google, Microsoft, and Amazon in conversational AI, or framing competition as motivation for self-improvement [2]. Marketing positions the proprietary ELM as differentiated without realistic competitive context, suggesting a finite mindset focused on narrative rather than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Blockchain Exchange Network to Brand Engagement Network represents a complete identity and business model change, and the Cataneo GmbH acquisition adds advertising technology capabilities diversifying beyond pure conversational AI [1]. The company has demonstrated willingness to reinvent itself. However, both pivots appear driven by market opportunism (blockchain hype to AI hype) rather than service to a Just Cause — the opposite of Sinek's definition of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Two CEO transitions in under 12 months — Paul Chang promoted August 2024, replaced by Interim CEO Janine Grasso July 2025 — indicates governance instability rather than courageous long-term thinking [2]. The interim CEO title persisting over a year signals indecision at the board level. The AFG Companies lawsuit (January 2025) over a terminated reseller agreement represents defensive litigation, not strategic courage [3]. With going-concern doubt and $708K cash, survival pressure drives all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Brand Engagement Network at $5.29 with a ~$40M market cap offers speculative exposure to enterprise conversational AI through its proprietary ELM platform, with the Cataneo GmbH acquisition (June 30, 2026) adding $5.3M in H1 2026 revenue and the MYDAS advertising technology platform to a company generating only $524K organically [1]. The combined entity has a meaningful revenue base, a 13,000+ dealership automotive AI network, and Interim CEO Janine Grasso brings 20 years of IBM enterprise sales experience that could accelerate channel development [2]. The Inspire Impact Score of 38 (ALIGNED) makes BNAI accessible to faith-based investors, and the compressed valuation at ~$40M market cap (down 67% since August 2026) provides asymmetric upside if integration succeeds.</w:t>
      </w:r>
    </w:p>
    <w:p>
      <w:pPr>
        <w:spacing w:after="120"/>
      </w:pPr>
      <w:r>
        <w:rPr>
          <w:rFonts w:ascii="Calibri" w:hAnsi="Calibri"/>
          <w:b w:val="0"/>
          <w:color w:val="3A4A28"/>
          <w:sz w:val="20"/>
        </w:rPr>
        <w:t>The bear case is severe and multi-dimensional. BNAI generates just $524K in organic TTM revenue with quarterly net losses exceeding $3M, negative ROE of -98.1%, and cash of only $708K — going-concern doubt is a real solvency risk requiring imminent dilutive capital raises [1]. Daily dollar volume of $751K fails the IOWN liquidity floor, making position-building impossible without market impact. The 67% stock decline from $15.90 to $5.29 since August 2026 reflects market loss of confidence. Two CEO changes in 12 months (Chang to interim Grasso) signals governance dysfunction at a critical integration stage [2]. The conversational AI market is commoditizing rapidly as OpenAI, Google, and Microsoft deploy enterprise-grade solutions with vastly superior scale, data, and distribution, leaving BEN's 29-person team with no competitive moat. The Cataneo acquisition adds revenue but also integration complexity for an already overstretched organization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Cataneo GmbH integration delivering on $900K annualized cost synergies and growing combined revenue above the $5.3M H1 2026 acquired run rate, which would validate the acquisition thesis at the compressed $40M valuation [1]</w:t>
      </w:r>
    </w:p>
    <w:p>
      <w:pPr>
        <w:spacing w:before="40" w:after="40"/>
        <w:ind w:left="283"/>
      </w:pPr>
      <w:r>
        <w:rPr>
          <w:rFonts w:ascii="Calibri" w:hAnsi="Calibri"/>
          <w:b/>
          <w:color w:val="4A6B25"/>
          <w:sz w:val="20"/>
        </w:rPr>
        <w:t xml:space="preserve">2. </w:t>
      </w:r>
      <w:r>
        <w:rPr>
          <w:rFonts w:ascii="Calibri" w:hAnsi="Calibri"/>
          <w:b w:val="0"/>
          <w:color w:val="3A4A28"/>
          <w:sz w:val="20"/>
        </w:rPr>
        <w:t>Permanent CEO appointment replacing interim CEO Janine Grasso, providing strategic clarity, operational credibility, and governance stability needed to attract enterprise customers and institutional investors [2]</w:t>
      </w:r>
    </w:p>
    <w:p>
      <w:pPr>
        <w:spacing w:before="40" w:after="40"/>
        <w:ind w:left="283"/>
      </w:pPr>
      <w:r>
        <w:rPr>
          <w:rFonts w:ascii="Calibri" w:hAnsi="Calibri"/>
          <w:b/>
          <w:color w:val="4A6B25"/>
          <w:sz w:val="20"/>
        </w:rPr>
        <w:t xml:space="preserve">3. </w:t>
      </w:r>
      <w:r>
        <w:rPr>
          <w:rFonts w:ascii="Calibri" w:hAnsi="Calibri"/>
          <w:b w:val="0"/>
          <w:color w:val="3A4A28"/>
          <w:sz w:val="20"/>
        </w:rPr>
        <w:t>Conversion of the automotive AI agent network across 13,000+ dealerships into recurring revenue streams that demonstrate scalable unit economics beyond the current negligible organic revenue base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Imminent capital raise risk with $708K cash against $3M+ quarterly operating losses — dilutive equity financing at micro-cap valuations and a $5.29 stock price would severely impair existing shareholders and potentially trigger reverse-split considerations [1]</w:t>
      </w:r>
    </w:p>
    <w:p>
      <w:pPr>
        <w:spacing w:before="40" w:after="40"/>
        <w:ind w:left="283"/>
      </w:pPr>
      <w:r>
        <w:rPr>
          <w:rFonts w:ascii="Calibri" w:hAnsi="Calibri"/>
          <w:b/>
          <w:color w:val="4A6B25"/>
          <w:sz w:val="20"/>
        </w:rPr>
        <w:t xml:space="preserve">2. </w:t>
      </w:r>
      <w:r>
        <w:rPr>
          <w:rFonts w:ascii="Calibri" w:hAnsi="Calibri"/>
          <w:b w:val="0"/>
          <w:color w:val="3A4A28"/>
          <w:sz w:val="20"/>
        </w:rPr>
        <w:t>Conversational AI commoditization as OpenAI, Google, Microsoft, and Salesforce deploy enterprise-grade AI agents with vastly superior scale, data, and LLM capabilities eliminates any remaining differentiation of BEN's proprietary ELM technology [2]</w:t>
      </w:r>
    </w:p>
    <w:p>
      <w:pPr>
        <w:spacing w:before="40" w:after="40"/>
        <w:ind w:left="283"/>
      </w:pPr>
      <w:r>
        <w:rPr>
          <w:rFonts w:ascii="Calibri" w:hAnsi="Calibri"/>
          <w:b/>
          <w:color w:val="4A6B25"/>
          <w:sz w:val="20"/>
        </w:rPr>
        <w:t xml:space="preserve">3. </w:t>
      </w:r>
      <w:r>
        <w:rPr>
          <w:rFonts w:ascii="Calibri" w:hAnsi="Calibri"/>
          <w:b w:val="0"/>
          <w:color w:val="3A4A28"/>
          <w:sz w:val="20"/>
        </w:rPr>
        <w:t>Leadership instability with interim CEO for over a year and two CEO changes in 12 months creates execution and governance risk during a critical acquisition integration phase that enterprise customers requiring vendor stability are unlikely to tolerate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(3/9): BEN IS a conversational AI company, meaning its core business faces maximum competitive disruption risk from better-funded AI players. The company's proprietary ELM technology competes directly against ChatGPT, Google Gemini, Amazon Lex, Microsoft Copilot, and dozens of well-funded AI platforms offering superior conversational AI at scale [2]. With 29 employees and $160K organic quarterly revenue, BEN has no defensive moats — no proprietary data assets at scale, no meaningful switching costs, no regulatory barriers, and no physical infrastructure. The conversational AI space is rapidly commoditizing as large language models from OpenAI, Anthropic, and Google become freely available via API, eroding differentiation of any proprietary NLP approach. The Cataneo MYDAS acquisition adds ad-tech but does not change the core competitive exposure. AI Opportunity (1/1): BEN's entire business is AI — the ELM platform, conversational AI agents, and Cataneo MYDAS represent a pure-play AI company generating 100% of revenue from AI-powered products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BNAI Q1-Q2 2026 Financial Results — Q1 Revenue $104K, Q2 Revenue $160K, Cataneo Acquisition June 30 2026, $5.3M Cataneo H1 Revenue, $900K Annualized Synergies — OpenCapital, CSIMarket, PR Newswire, 2026</w:t>
      </w:r>
    </w:p>
    <w:p>
      <w:pPr>
        <w:spacing w:before="20" w:after="20"/>
        <w:ind w:left="170"/>
      </w:pPr>
      <w:r>
        <w:rPr>
          <w:rFonts w:ascii="Calibri" w:hAnsi="Calibri"/>
          <w:b/>
          <w:color w:val="4A6B25"/>
          <w:sz w:val="15"/>
        </w:rPr>
        <w:t xml:space="preserve">2. </w:t>
      </w:r>
      <w:r>
        <w:rPr>
          <w:rFonts w:ascii="Calibri" w:hAnsi="Calibri"/>
          <w:b w:val="0"/>
          <w:color w:val="3A4A28"/>
          <w:sz w:val="17"/>
        </w:rPr>
        <w:t>Brand Engagement Network Leadership and Product — Interim CEO Janine Grasso (July 2025), Paul Chang (August 2024), ELM Platform, Automotive AI Agent 13,000+ Dealerships — MarTech Series, GlobeNewsWire, TipRanks, 2024-2026</w:t>
      </w:r>
    </w:p>
    <w:p>
      <w:pPr>
        <w:spacing w:before="20" w:after="20"/>
        <w:ind w:left="170"/>
      </w:pPr>
      <w:r>
        <w:rPr>
          <w:rFonts w:ascii="Calibri" w:hAnsi="Calibri"/>
          <w:b/>
          <w:color w:val="4A6B25"/>
          <w:sz w:val="15"/>
        </w:rPr>
        <w:t xml:space="preserve">3. </w:t>
      </w:r>
      <w:r>
        <w:rPr>
          <w:rFonts w:ascii="Calibri" w:hAnsi="Calibri"/>
          <w:b w:val="0"/>
          <w:color w:val="3A4A28"/>
          <w:sz w:val="17"/>
        </w:rPr>
        <w:t>Brand Engagement Network Legal and Financial Status — AFG Companies Lawsuit January 2025, Going-Concern Disclosure, Cash Position — TipRanks, SEC Filings,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