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BNL</w:t>
      </w:r>
      <w:r>
        <w:rPr>
          <w:rFonts w:ascii="Calibri" w:hAnsi="Calibri"/>
          <w:b/>
          <w:color w:val="1A2010"/>
          <w:sz w:val="40"/>
        </w:rPr>
        <w:t xml:space="preserve">  Broadstone Net Lease, Inc.</w:t>
      </w:r>
    </w:p>
    <w:p>
      <w:pPr>
        <w:spacing w:after="120"/>
      </w:pPr>
      <w:r>
        <w:rPr>
          <w:rFonts w:ascii="Calibri" w:hAnsi="Calibri"/>
          <w:b/>
          <w:color w:val="6E8450"/>
          <w:sz w:val="18"/>
        </w:rPr>
        <w:t>DIVIDEND SLEEVE · 2026-09-14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Diversified Net Lease · NYSE · United States</w:t>
      </w:r>
    </w:p>
    <w:p>
      <w:pPr>
        <w:spacing w:after="80"/>
      </w:pPr>
      <w:r>
        <w:rPr>
          <w:rFonts w:ascii="Calibri" w:hAnsi="Calibri"/>
          <w:b w:val="0"/>
          <w:color w:val="3A4A28"/>
          <w:sz w:val="20"/>
        </w:rPr>
        <w:t>Broadstone Net Lease is an industrial-focused, internally managed net lease REIT that invests in, owns, and manages primarily single-tenant commercial real estate properties net leased on a long-term basis. The company owns a $5.8B+ portfolio of 773 properties across 41.9 million square feet with 99.8% occupancy, with over 50% of annual base rent from industrial tenants. Q2 2026 FFO of $0.39/share beat estimates, revenue of $122.31M grew ~8.2% YoY, and 2026 AFFO guidance of $1.53-$1.57/share was reaffirmed [1]. CEO John Moragne was promoted internally from General Counsel (2016) through COO (2018) to CEO (2023). Headquartered in Rochester, New York.</w:t>
      </w:r>
    </w:p>
    <w:p>
      <w:r>
        <w:rPr>
          <w:rFonts w:ascii="Calibri" w:hAnsi="Calibri"/>
          <w:b/>
          <w:color w:val="6E8450"/>
          <w:sz w:val="18"/>
        </w:rPr>
        <w:t>62 Employees · https://www.broadstone.com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BNL has executed a disciplined acquisition strategy since its September 2020 IPO, investing $748.4M in 2025 and continuing active deployment in 2026 with Q1 investments of $171.9M, building a 773-property portfolio with 99.8% occupancy [1][2]. However, the core business model is unchanged — single-tenant net lease acquisitions and build-to-suit developments with no transformative strategic pivots. AI Deployment (0/2): No AI-powered products, services, or measurable AI-driven efficiency gains reported. The company operates with a lean 62-person team focused on traditional real estate underwriting and asset management [3]. Market Share (1/2): BNL is a meaningful player in the diversified net lease space with $5.8B+ gross asset value, but trails larger peers like Realty Income ($70B+ market cap) in scale and cost-of-capital advantage [1]. The industrial focus (50%+ of rent) provides differentiation from retail-heavy peers. Product Pipeline (1/2): The $382M committed build-to-suit pipeline provides strong visibility to development-driven growth, and 2026 investment guidance of $500-625M demonstrates a robust acquisition pipeline [1][2]. R&amp;D Intensity (1/1): While REITs do not report traditional R&amp;D, BNL's investment in its data-driven underwriting platform and build-to-suit development capabilities reflects appropriate sector-level innovation for a lean organization managing $5.8B+ in assets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Broadstone's stated purpose centers on being a trusted capital partner for tenants and delivering consistent value creation through disciplined real estate investment — clear but not distinctive from other net lease REITs [3]. CEO Moragne's language focuses on execution ('disciplined execution,' 'consistent value creation') rather than an inspiring cause that transcends financial returns. Community Impact (1/2): BNL has published annual sustainability reports since 2022 covering GHG emissions, energy management, and community engagement, established an ESG Committee reporting quarterly to the Board, and conducted an ESG gap analysis with a third-party consultant [4]. The company's industrial-focused portfolio supports manufacturing, logistics, and healthcare operations that serve communities. However, specific charitable programs or dollar amounts are not prominently reported. Employee Retention (1/2): With only 62 employees, BNL operates a lean, tight-knit organization. CEO John Moragne's decade-long internal journey from General Counsel (2016) through COO (2018) to CEO (2023) is exceptional evidence of promote-from-within culture [3]. Glassdoor rating of 4.4/5.0, though based on a very small sample (8 ratings), and 100% CEO approval rating under Czarnecki suggest positive culture. Insider Buying (1/2): CEO Moragne and President Albano received stock award grants totaling approximately 260,000 shares in March 2026, demonstrating equity alignment through compensation [5]. No evidence of meaningful net open-market insider buying or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D/E of 89% scores 0.92 at 1x weight — moderate leverage appropriate for a net lease REIT with predictable contractual cash flows [6]. ROE of 3.2% scores 0.21 at 1x weight — low on a GAAP basis due to depreciation; REITs are better measured by AFFO yield (BNL trades at ~13.6x FY2026 AFFO midpoint) [1]. Revenue growth YoY of approximately 10% (Q1 2026 +11.7%, Q2 2026 +8.2% YoY to $122.31M) scores 1.0 at 1x weight [1]. Revenue 5yr CAGR of ~3.7% scores 0.58 at 1x weight — modest for a growth-through-acquisition REIT. Forward P/E of 27.3 (GAAP basis, distorted by depreciation) scores 0.82 at 1x weight [6]. Profit margin of 21.9% scores 1.0 at 1x weight. Dividend: payout ratio 78.4% (AFFO basis, appropriate for REITs) scores 0.36 at 1x weight; consecutive years paid 6 scores 0.60 at 2x weight; consecutive years growth 4 scores 0.40 at 1x weight; 5yr dividend growth CAGR 3.1% scores 0.52 at 2x weight [6]. Weighted sum: 7.52 / 12 max = 6.27, rounded to 6. Liquidity floor cleared: 2.0M avg volume x $21.02 = $42.0M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Broadstone Net Lease plays a moderately infinite game — the net lease model is inherently long-term (10-20 year leases), and the company's disciplined acquisition strategy prioritizes portfolio quality over growth at any cost. CEO Moragne's decade-long internal journey from General Counsel to CEO demonstrates genuine organizational trust and long-term thinking. However, the company lacks a transformative Just Cause beyond generating consistent shareholder returns, and its short public history (IPO September 2020) limits evidence of existential flexibility or courageous leadership through true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BNL's purpose is oriented around being a reliable capital partner for tenants and generating consistent income for shareholders — functional but not inspiring [3]. CEO Moragne frames the company's strategy through 'disciplined execution,' 'consistent value creation,' and 'differentiated long-term strategy.' The net lease model is inherently long-term, but the company's articulated purpose does not describe a future state that invites sacrifice or transcends financial returns. It reads as a well-run financial enterprise, not a cause.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Moragne's internal promotion from General Counsel (2016) through COO (2018) to CEO (March 2023) over a decade is exceptional evidence of a promote-from-within, high-trust culture [3]. With only 62 employees, the organization operates as a tight-knit team with close working relationships. The company collected 100% of base rent, maintained 99.8% occupancy, and deployed capital effectively across Q1 and Q2 2026 — this level of execution from such a lean team suggests deep organizational trust and coordination [1]. Glassdoor rating of 4.4/5.0, though a small sample, supports this assessment.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BNL explicitly acknowledges larger net lease peers like Realty Income and NNN REIT as benchmarks, using their scale and cost-of-capital advantages as motivation to differentiate through industrial focus and build-to-suit capabilities rather than competing on size [1][3]. Moragne has highlighted BNL's 'unique position in the net lease space' through industrial concentration, demonstrating competitive awareness that drives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BNL has evolved its portfolio mix since the 2020 IPO, increasing industrial exposure to over 50% of annual base rent, reducing restaurant and retail concentration through selective dispositions, and expanding its build-to-suit pipeline to $382M [1][3]. The shift from pure acquisition to development partnerships represents meaningful strategic evolution. However, these are incremental adjustments within the same net lease REIT framework, and the company's short public history limits evidence of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BNL maintained conservative leverage and selective underwriting during the 2022-2023 rate spike when many REITs paused acquisitions, then resumed investment activity as conditions improved — investing $748.4M in 2025 [2]. The 2026 guidance for $500-625M in investments and expansion of the build-to-suit pipeline shows willingness to deploy capital for long-term growth. However, the company has not faced a true existential test of leadership courage, and the decisions reflect disciplined execution rather than high-conviction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Broadstone Net Lease offers a defensible 5.57% dividend yield backed by 99.8% occupancy across 773 properties, with Q2 2026 FFO of $0.39/share beating estimates and revenue of $122.31M growing approximately 8.2% YoY [1]. 2026 AFFO guidance of $1.53-$1.57/share was reaffirmed, representing approximately 5-6% AFFO growth driven by acquisitions, build-to-suit completions, and contractual rent escalators. The industrial-focused portfolio (50%+ of rent) differentiates BNL from diversified net lease peers and provides exposure to reshoring, e-commerce logistics, and manufacturing expansion tailwinds. At $21.02 per share and ~13.6x FY2026 AFFO midpoint, the stock trades at a reasonable valuation for a mid-cap net lease REIT with improving operational momentum. The lean 62-person team with CEO Moragne's decade-long internal tenure and the $382M build-to-suit pipeline provide visible growth and efficient execution.</w:t>
      </w:r>
    </w:p>
    <w:p>
      <w:pPr>
        <w:spacing w:after="120"/>
      </w:pPr>
      <w:r>
        <w:rPr>
          <w:rFonts w:ascii="Calibri" w:hAnsi="Calibri"/>
          <w:b w:val="0"/>
          <w:color w:val="3A4A28"/>
          <w:sz w:val="20"/>
        </w:rPr>
        <w:t>The bear case centers on BNL's limited scale, modest growth trajectory, and REIT structural constraints. AFFO growth of ~5-6% trails higher-growth REIT peers, limiting total return potential beyond the dividend [1]. GAAP earnings were depressed in FY2025, compressing GAAP ROE to 3.2% and inflating the GAAP P/E to 40x — metrics that penalize the REIT in a mechanical scoring framework, though they reflect depreciation charges standard in real estate rather than operational weakness [6]. D/E of 89% constrains balance sheet capacity for acquisitions, and rising interest rates would increase refinancing costs on the $2.73B debt stack. The dividend growth rate of 3.1% barely keeps pace with inflation, and the dividend has only been paid for 6 years since the 2020 IPO — a short track record compared to established dividend aristocrats [6]. Competition for net lease properties from larger, better-capitalized REITs (Realty Income at $70B+ market cap) compresses cap rates and limits BNL's ability to acquire high-quality properties at attractive returns. The Inspire Impact Score of 50 (ALIGNED) with zero negative attributions is a positive for faith-based investors but the limited positive attributions (only 3) reflect a narrow ESG profile.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Build-to-suit pipeline expansion to $382M providing development-driven growth with higher returns than traditional acquisitions, plus $500-625M in total 2026 investment guidance creating visible external growth [1][2]</w:t>
      </w:r>
    </w:p>
    <w:p>
      <w:pPr>
        <w:spacing w:before="40" w:after="40"/>
        <w:ind w:left="283"/>
      </w:pPr>
      <w:r>
        <w:rPr>
          <w:rFonts w:ascii="Calibri" w:hAnsi="Calibri"/>
          <w:b/>
          <w:color w:val="4A6B25"/>
          <w:sz w:val="20"/>
        </w:rPr>
        <w:t xml:space="preserve">2. </w:t>
      </w:r>
      <w:r>
        <w:rPr>
          <w:rFonts w:ascii="Calibri" w:hAnsi="Calibri"/>
          <w:b w:val="0"/>
          <w:color w:val="3A4A28"/>
          <w:sz w:val="20"/>
        </w:rPr>
        <w:t>Industrial portfolio repositioning — over 50% of annual base rent from industrial tenants benefiting from reshoring, e-commerce logistics growth, manufacturing expansion, and AI-driven demand for distribution infrastructure [1]</w:t>
      </w:r>
    </w:p>
    <w:p>
      <w:pPr>
        <w:spacing w:before="40" w:after="40"/>
        <w:ind w:left="283"/>
      </w:pPr>
      <w:r>
        <w:rPr>
          <w:rFonts w:ascii="Calibri" w:hAnsi="Calibri"/>
          <w:b/>
          <w:color w:val="4A6B25"/>
          <w:sz w:val="20"/>
        </w:rPr>
        <w:t xml:space="preserve">3. </w:t>
      </w:r>
      <w:r>
        <w:rPr>
          <w:rFonts w:ascii="Calibri" w:hAnsi="Calibri"/>
          <w:b w:val="0"/>
          <w:color w:val="3A4A28"/>
          <w:sz w:val="20"/>
        </w:rPr>
        <w:t>AFFO growth acceleration — Q1 2026 AFFO grew 5.6% YoY, Q2 2026 FFO beat estimates, and 99.8% occupancy with contractual rent escalators provides organic growth visibility through the existing portfolio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sensitivity — rising rates increase BNL's refinancing costs on the $2.73B debt stack (D/E 89%) and compress property valuations, constraining acquisition and development activity and potentially putting downward pressure on the stock price [6]</w:t>
      </w:r>
    </w:p>
    <w:p>
      <w:pPr>
        <w:spacing w:before="40" w:after="40"/>
        <w:ind w:left="283"/>
      </w:pPr>
      <w:r>
        <w:rPr>
          <w:rFonts w:ascii="Calibri" w:hAnsi="Calibri"/>
          <w:b/>
          <w:color w:val="4A6B25"/>
          <w:sz w:val="20"/>
        </w:rPr>
        <w:t xml:space="preserve">2. </w:t>
      </w:r>
      <w:r>
        <w:rPr>
          <w:rFonts w:ascii="Calibri" w:hAnsi="Calibri"/>
          <w:b w:val="0"/>
          <w:color w:val="3A4A28"/>
          <w:sz w:val="20"/>
        </w:rPr>
        <w:t>Scale disadvantage versus larger net lease REITs (Realty Income at $70B+ market cap vs BNL at ~$4.3B) limits cost of capital, competitive positioning for acquisitions, and investor visibility in institutional portfolios [1]</w:t>
      </w:r>
    </w:p>
    <w:p>
      <w:pPr>
        <w:spacing w:before="40" w:after="40"/>
        <w:ind w:left="283"/>
      </w:pPr>
      <w:r>
        <w:rPr>
          <w:rFonts w:ascii="Calibri" w:hAnsi="Calibri"/>
          <w:b/>
          <w:color w:val="4A6B25"/>
          <w:sz w:val="20"/>
        </w:rPr>
        <w:t xml:space="preserve">3. </w:t>
      </w:r>
      <w:r>
        <w:rPr>
          <w:rFonts w:ascii="Calibri" w:hAnsi="Calibri"/>
          <w:b w:val="0"/>
          <w:color w:val="3A4A28"/>
          <w:sz w:val="20"/>
        </w:rPr>
        <w:t>Tenant credit risk in an economic slowdown — net lease REITs depend on tenant solvency to maintain the 99.8% occupancy rate, and industrial, restaurant, and healthcare tenants face cyclical pressures that could lead to lease defaults or renegotiations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Broadstone's core business — owning physical single-tenant commercial real estate with long-term net leases — is structurally immune to AI disruption [1]. AI cannot replace industrial warehouses, healthcare facilities, or restaurant buildings. The triple-net lease structure means tenants bear operating costs, leaving BNL as a pure real estate owner with contractual rent escalators that AI cannot displace. The 99.8% occupancy rate across 773 properties and diversified tenant base across 200+ tenants further insulate the business. AI-driven growth in e-commerce, industrial automation, and data center expansion increases demand for the industrial properties that comprise over 50% of BNL's portfolio. The only minor exposure is that AI-driven disruption to specific tenants' businesses could lead to lease defaults, but the diversified tenant base mitigates this concentration risk. AI Opportunity (0/1): BNL does not generate revenue from AI products or services; it is a passive landlord collecting contractual rent with a lean 62-person team.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Broadstone Net Lease Q1-Q2 2026 Earnings — Q1 Revenue $121.4M (+11.7% YoY), AFFO $0.38/share (+5.6%), Q2 Revenue $122.31M, FFO $0.39/share (beat $0.38 est.), 99.8% Occupancy, 2026 AFFO Guidance $1.53-$1.57 Reaffirmed, April-July 2026</w:t>
      </w:r>
    </w:p>
    <w:p>
      <w:pPr>
        <w:spacing w:before="20" w:after="20"/>
        <w:ind w:left="170"/>
      </w:pPr>
      <w:r>
        <w:rPr>
          <w:rFonts w:ascii="Calibri" w:hAnsi="Calibri"/>
          <w:b/>
          <w:color w:val="4A6B25"/>
          <w:sz w:val="15"/>
        </w:rPr>
        <w:t xml:space="preserve">2. </w:t>
      </w:r>
      <w:r>
        <w:rPr>
          <w:rFonts w:ascii="Calibri" w:hAnsi="Calibri"/>
          <w:b w:val="0"/>
          <w:color w:val="3A4A28"/>
          <w:sz w:val="17"/>
        </w:rPr>
        <w:t>Broadstone Net Lease 2025 Results and 2026 Guidance — FY2025 Revenue $454.1M, AFFO $1.49/share (+4.2%), $748.4M Invested, 2026 Investment Guidance $500-625M, Build-to-Suit Pipeline $382M, December 2025-February 2026</w:t>
      </w:r>
    </w:p>
    <w:p>
      <w:pPr>
        <w:spacing w:before="20" w:after="20"/>
        <w:ind w:left="170"/>
      </w:pPr>
      <w:r>
        <w:rPr>
          <w:rFonts w:ascii="Calibri" w:hAnsi="Calibri"/>
          <w:b/>
          <w:color w:val="4A6B25"/>
          <w:sz w:val="15"/>
        </w:rPr>
        <w:t xml:space="preserve">3. </w:t>
      </w:r>
      <w:r>
        <w:rPr>
          <w:rFonts w:ascii="Calibri" w:hAnsi="Calibri"/>
          <w:b w:val="0"/>
          <w:color w:val="3A4A28"/>
          <w:sz w:val="17"/>
        </w:rPr>
        <w:t>Broadstone Net Lease Company Overview and Leadership — CEO John Moragne (Promoted Internally 2016-2023), 62 Employees, $5.8B+ Portfolio, Industrial Focus 50%+ of Rent, broadstone.com, Glassdoor 4.4/5.0</w:t>
      </w:r>
    </w:p>
    <w:p>
      <w:pPr>
        <w:spacing w:before="20" w:after="20"/>
        <w:ind w:left="170"/>
      </w:pPr>
      <w:r>
        <w:rPr>
          <w:rFonts w:ascii="Calibri" w:hAnsi="Calibri"/>
          <w:b/>
          <w:color w:val="4A6B25"/>
          <w:sz w:val="15"/>
        </w:rPr>
        <w:t xml:space="preserve">4. </w:t>
      </w:r>
      <w:r>
        <w:rPr>
          <w:rFonts w:ascii="Calibri" w:hAnsi="Calibri"/>
          <w:b w:val="0"/>
          <w:color w:val="3A4A28"/>
          <w:sz w:val="17"/>
        </w:rPr>
        <w:t>Broadstone Net Lease ESG Reports — Inaugural 2022 ESG Report, 2023 Sustainability Report, ESG Committee, Third-Party Gap Analysis, GHG Emissions and Energy Management Programs, 2022-2026</w:t>
      </w:r>
    </w:p>
    <w:p>
      <w:pPr>
        <w:spacing w:before="20" w:after="20"/>
        <w:ind w:left="170"/>
      </w:pPr>
      <w:r>
        <w:rPr>
          <w:rFonts w:ascii="Calibri" w:hAnsi="Calibri"/>
          <w:b/>
          <w:color w:val="4A6B25"/>
          <w:sz w:val="15"/>
        </w:rPr>
        <w:t xml:space="preserve">5. </w:t>
      </w:r>
      <w:r>
        <w:rPr>
          <w:rFonts w:ascii="Calibri" w:hAnsi="Calibri"/>
          <w:b w:val="0"/>
          <w:color w:val="3A4A28"/>
          <w:sz w:val="17"/>
        </w:rPr>
        <w:t>Broadstone Net Lease Insider Activity — CEO Moragne and President Albano Stock Award Grants March 2026, SEC Form 4 Filings,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Morningstar — BNL Key Statistics: Stock Price $21.02, Forward P/E 27.29, D/E 89%, ROE 3.2%, Dividend Yield 5.57%, AFFO Payout 78.4%, 6 Years Paid, 4 Years Growth,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