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BNTX</w:t>
      </w:r>
      <w:r>
        <w:rPr>
          <w:rFonts w:ascii="Calibri" w:hAnsi="Calibri"/>
          <w:b/>
          <w:color w:val="1A2010"/>
          <w:sz w:val="40"/>
        </w:rPr>
        <w:t xml:space="preserve">  BioNTech SE</w:t>
      </w:r>
    </w:p>
    <w:p>
      <w:pPr>
        <w:spacing w:after="120"/>
      </w:pPr>
      <w:r>
        <w:rPr>
          <w:rFonts w:ascii="Calibri" w:hAnsi="Calibri"/>
          <w:b/>
          <w:color w:val="6E8450"/>
          <w:sz w:val="18"/>
        </w:rPr>
        <w:t>GROWTH SLEEVE · 2026-09-25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Germany</w:t>
      </w:r>
    </w:p>
    <w:p>
      <w:pPr>
        <w:spacing w:after="80"/>
      </w:pPr>
      <w:r>
        <w:rPr>
          <w:rFonts w:ascii="Calibri" w:hAnsi="Calibri"/>
          <w:b w:val="0"/>
          <w:color w:val="3A4A28"/>
          <w:sz w:val="20"/>
        </w:rPr>
        <w:t>BioNTech SE is a next-generation immunotherapy company pioneering mRNA-based medicines for cancer and infectious diseases. Co-founded by physician-immunologists Ugur Sahin and Ozlem Tureci, the company developed the Pfizer-BioNTech COVID-19 vaccine (Comirnaty), generating peak revenue of over EUR 19B in 2021. BioNTech is now pivoting its platform toward a multi-product oncology franchise with 14 ongoing pivotal trials across immunomodulators, antibody-drug conjugates, and mRNA cancer immunotherapies, funded by EUR 16.6B in liquidity.</w:t>
      </w:r>
    </w:p>
    <w:p>
      <w:r>
        <w:rPr>
          <w:rFonts w:ascii="Calibri" w:hAnsi="Calibri"/>
          <w:b/>
          <w:color w:val="6E8450"/>
          <w:sz w:val="18"/>
        </w:rPr>
        <w:t>7,500 Employees · https://www.biontech.com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BioNTech co-developed the first approved mRNA vaccine (Comirnaty), the most commercially successful product launch in pharmaceutical history at EUR 19B peak revenue [1]. The company has executed a transformative pivot from a single COVID-19 product into a diversified oncology franchise with 14 ongoing pivotal trials and 6 new pivotal trials initiated in H1 2026 alone, spanning ADCs, bispecific antibodies, and mRNA cancer immunotherapies [1]. AI Deployment (1/2): BioNTech acquired InstaDeep in 2023, establishing an in-house AI company for drug discovery, protein design, and clinical trial optimization [2]. The company hosted multiple AI Day events demonstrating specific R&amp;D applications, but no quantified cost savings or revenue from AI products have been disclosed. Market Share (1/2): BioNTech remains a leader in mRNA vaccine technology but faces growing competition from Moderna. In oncology, the company has no approved products yet — it is an emerging challenger against established players like Merck, Roche, and AstraZeneca, though its pipeline breadth is top-tier among clinical-stage oncology biotechs [1]. Product Pipeline (2/2): Exceptional near-term visibility with 14 pivotal trials ongoing: pumitamig (PD-L1xVEGF bispecific) showing 0.46 hazard ratio in squamous NSCLC, trastuzumab pamirtecan (HER2 ADC) with potential BLA filing in 2026, elfetabart drozuntecan (B7-H3 ADC) with 1,000+ patients treated, and a EUR 613M BMS collaboration milestone expected in Q3 2026 [1]. R&amp;D Intensity (1/1): R&amp;D spend of EUR 2.0-2.3B exceeds projected FY2026 revenue of EUR 1.6-1.9B — extraordinary intensity among pharma/biotech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BioNTech's mission to 'unleash the power of the immune system to fight cancer and infectious diseases' is specific, deeply authentic to founders Ugur Sahin and Ozlem Tureci (both physician-immunologists who left academic medicine), and was validated by the COVID-19 vaccine development that saved millions of lives [2]. The mission connects scientific innovation to human survival in a way very few companies can claim. However, the upcoming CEO transition to Guido Oelkers (a commercial pharmaceutical executive, not a scientist) introduces uncertainty about whether the purpose will survive the founder's departure. Community Impact (2/2): BioNTech delivered billions of COVID-19 vaccine doses globally including at-cost supply to developing nations. The company earned ISS ESG 'Prime' status (top 10% of pharma), S&amp;P Sustainability Yearbook inclusion in 2025, and SBTi-approved science-based emissions reduction targets aligned with 1.5C warming [3]. Employee Retention (1/2): The specialized nature of mRNA research creates natural retention among scientific talent, and Sahin's academic culture emphasizes researcher ownership of full projects. However, no specific turnover or tenure data is publicly available to distinguish from industry average. Insider Buying (0/2): No evidence of meaningful net insider buying by executives in the last 12 months. The EUR 1B share buyback program (EUR 131.8M repurchased in Q2 2026) is corporate, not individual insider purchasing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BioNTech has a fortress balance sheet with D/E of only 1.78% (minimal debt against EUR 16.6B in total liquidity), scoring maximum on leverage [1]. However, every profitability and growth metric is deeply impaired: ROE is -9.3%, profit margin is -63.64%, and both Forward P/E and PEG are excluded as the company is unprofitable [4]. Q2 2026 revenue declined 59.5% YoY to EUR 105.6M as COVID-19 vaccine demand faded, and FY2026 guidance was lowered to EUR 1.6-1.9B [1]. R&amp;D spend of EUR 2.0-2.3B exceeds projected revenue, making near-term profitability impossible. The 5-year revenue CAGR is excluded due to extreme COVID-era distortion. Calculated: D/E 1.78% scores 1.0 (1x), ROE -9.3% scores 0.0 (2x), RevGrowthYoY -59.5% scores 0.0 (1x), ProfitMargin -63.64% scores 0.0 (1x); weighted sum 1.0/5 =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BioNTech embodies many infinite-game principles under founders Sahin and Tureci — a genuine scientific Just Cause, transformative existential flexibility (COVID pivot and back to oncology), and willingness to invest EUR 2B+ annually in R&amp;D despite declining revenue. However, the company's infinite-game qualities are heavily tied to its co-founders, whose departure by early 2027 creates the ultimate test of whether these values are institutional or personal. The appointment of commercial CEO Guido Oelkers from Sobi raises questions about whether the purpose-driven culture will survive the transition.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BioNTech's purpose — to harness the immune system to fight cancer and infectious disease — meets Sinek's criteria: resilient, inclusive, service-oriented, idealistic, and big. The COVID-19 pandemic provided extraordinary validation as BioNTech redirected 20 years of mRNA cancer research to save millions of lives [2]. However, the cause has not yet been tested through a leadership transition, and the upcoming departure of co-founders Sahin and Tureci will be the defining test of whether the purpose is institutional or personal. The appointment of Guido Oelkers — a commercial pharmaceutical executive — suggests a possible shift from purpose-driven to performance-driven leadership.</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Sahin's academic leadership style — giving researchers full ownership of projects rather than parceling out tasks — created a high-trust environment for scientific innovation [2]. The InstaDeep acquisition brought a complementary AI team with significant autonomy. However, the announced CEO transition introduces organizational uncertainty, and integrating a global workforce of 7,500+ through a founder departure is a major trust challenge. No specific employee satisfaction or turnover data is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BioNTech's relationship with Moderna exemplifies Sinek's worthy rival concept — both companies push each other to advance mRNA technology, and BioNTech's competitive language focuses on scientific progress rather than market dominance. The partnership with Pfizer (a much larger company) and the BMS oncology collaboration demonstrate a collaborative competitive mindset. Management discussions reference advancing immunotherapy science rather than beating specific competitors.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BioNTech has executed two transformative pivots in under five years: redirecting its entire mRNA cancer research platform to develop a COVID-19 vaccine in 2020 (sacrificing years of oncology progress for a global health emergency), and then pivoting back from a single-product COVID-19 company to a diversified oncology franchise with 14 pivotal trials and multiple therapeutic modalities including ADCs and bispecific antibodies [1]. The acquisition of InstaDeep for AI represents yet another strategic dimension. This pattern of reinvention driven by scientific purpose is textbook infinite-game behavior.</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BioNTech is spending EUR 2.0-2.3B annually on R&amp;D — more than its projected FY2026 revenue of EUR 1.6-1.9B — while preserving EUR 16.6B in cash for long-term investment rather than capitulating to shareholder pressure for capital returns [1]. The decision to lower FY2026 guidance while maintaining R&amp;D investment reflects prioritizing long-term capability. However, the courage is somewhat diminished by the enormous cash cushion from COVID-era profits — it is easier to invest boldly with EUR 16.6B in the bank, and the EUR 1B buyback program shows capital is being returned alongside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BioNTech is executing one of biotech's most ambitious platform pivots — transforming from a peak-EUR 19B COVID-19 vaccine company into a diversified oncology franchise with 14 ongoing pivotal trials and EUR 16.6B in liquidity to fund the transformation [1]. Key near-term catalysts include pumitamig (BNT327) showing a 0.46 hazard ratio in squamous NSCLC, trastuzumab pamirtecan approaching BLA filing, and a EUR 613M BMS milestone expected in Q3 2026. The mRNA platform, augmented by InstaDeep's AI capabilities, enables personalized cancer immunotherapies across multiple modalities (mRNA, ADCs, bispecifics). At $99.26 per ADS with a market cap of ~$25B and net cash of EUR 16.3B (~$17.6B), the market is assigning only ~$7.4B in enterprise value to a pipeline with 14 pivotal trials — among the cheapest risk-adjusted pipeline valuations in large-cap biotech [4].</w:t>
      </w:r>
    </w:p>
    <w:p>
      <w:pPr>
        <w:spacing w:after="120"/>
      </w:pPr>
      <w:r>
        <w:rPr>
          <w:rFonts w:ascii="Calibri" w:hAnsi="Calibri"/>
          <w:b w:val="0"/>
          <w:color w:val="3A4A28"/>
          <w:sz w:val="20"/>
        </w:rPr>
        <w:t>The bear case centers on accelerating revenue decline and the founder departure. Q2 2026 revenue plunged 59.5% YoY to EUR 105.6M, and FY2026 guidance was lowered to EUR 1.6-1.9B from EUR 2.0-2.3B as global COVID-19 vaccine demand continues to erode [1]. BioNTech is deeply unprofitable with H1 2026 net loss of EUR 1.35B and a -44.64% profit margin, and R&amp;D spend exceeds revenue. The announced departure of co-founders Sahin and Tureci, with commercial executive Guido Oelkers taking over as CEO by February 2027, removes the visionary leadership that built the company and introduces unprecedented succession risk [2]. Oncology drug development is notoriously risky — most Phase 3 programs fail, and even a well-funded pipeline of 14 pivotal trials could produce multiple disappointments. The EUR 16.6B cash war chest provides a multi-year runway, but at the current burn rate of EUR 1B+ annually in free cash outflow, the runway is finite without oncology commercial success.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Pivotal oncology data readouts across 14 trials in 2026-2027 — pumitamig (0.46 HR in squamous NSCLC), trastuzumab pamirtecan (potential BLA filing 2026), and elfetabart drozuntecan (1,000+ patients treated) — any approval could validate the oncology platform and re-rate the stock [1]</w:t>
      </w:r>
    </w:p>
    <w:p>
      <w:pPr>
        <w:spacing w:before="40" w:after="40"/>
        <w:ind w:left="283"/>
      </w:pPr>
      <w:r>
        <w:rPr>
          <w:rFonts w:ascii="Calibri" w:hAnsi="Calibri"/>
          <w:b/>
          <w:color w:val="4A6B25"/>
          <w:sz w:val="20"/>
        </w:rPr>
        <w:t xml:space="preserve">2. </w:t>
      </w:r>
      <w:r>
        <w:rPr>
          <w:rFonts w:ascii="Calibri" w:hAnsi="Calibri"/>
          <w:b w:val="0"/>
          <w:color w:val="3A4A28"/>
          <w:sz w:val="20"/>
        </w:rPr>
        <w:t>EUR 613M BMS collaboration milestone expected in Q3 2026 would provide near-term revenue visibility and validate the partnership strategy for oncology commercialization [1]</w:t>
      </w:r>
    </w:p>
    <w:p>
      <w:pPr>
        <w:spacing w:before="40" w:after="40"/>
        <w:ind w:left="283"/>
      </w:pPr>
      <w:r>
        <w:rPr>
          <w:rFonts w:ascii="Calibri" w:hAnsi="Calibri"/>
          <w:b/>
          <w:color w:val="4A6B25"/>
          <w:sz w:val="20"/>
        </w:rPr>
        <w:t xml:space="preserve">3. </w:t>
      </w:r>
      <w:r>
        <w:rPr>
          <w:rFonts w:ascii="Calibri" w:hAnsi="Calibri"/>
          <w:b w:val="0"/>
          <w:color w:val="3A4A28"/>
          <w:sz w:val="20"/>
        </w:rPr>
        <w:t>Enterprise value of ~$4.4B (market cap minus net cash) for 14 pivotal trials represents potential deep value if even 2-3 programs reach approval with combined peak revenue exceeding $5B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Co-founders Ugur Sahin and Ozlem Tureci departing by early 2027, with commercial CEO Guido Oelkers succeeding — this removes the scientific visionaries who built BioNTech and creates institutional culture risk during the most critical phase of the oncology pivot [2]</w:t>
      </w:r>
    </w:p>
    <w:p>
      <w:pPr>
        <w:spacing w:before="40" w:after="40"/>
        <w:ind w:left="283"/>
      </w:pPr>
      <w:r>
        <w:rPr>
          <w:rFonts w:ascii="Calibri" w:hAnsi="Calibri"/>
          <w:b/>
          <w:color w:val="4A6B25"/>
          <w:sz w:val="20"/>
        </w:rPr>
        <w:t xml:space="preserve">2. </w:t>
      </w:r>
      <w:r>
        <w:rPr>
          <w:rFonts w:ascii="Calibri" w:hAnsi="Calibri"/>
          <w:b w:val="0"/>
          <w:color w:val="3A4A28"/>
          <w:sz w:val="20"/>
        </w:rPr>
        <w:t>COVID-19 vaccine revenue continues to erode with Q2 2026 revenue down 59.5% YoY and FY2026 guidance lowered by EUR 400M, depleting the cash generation that funds the multi-billion dollar oncology R&amp;D program [1]</w:t>
      </w:r>
    </w:p>
    <w:p>
      <w:pPr>
        <w:spacing w:before="40" w:after="40"/>
        <w:ind w:left="283"/>
      </w:pPr>
      <w:r>
        <w:rPr>
          <w:rFonts w:ascii="Calibri" w:hAnsi="Calibri"/>
          <w:b/>
          <w:color w:val="4A6B25"/>
          <w:sz w:val="20"/>
        </w:rPr>
        <w:t xml:space="preserve">3. </w:t>
      </w:r>
      <w:r>
        <w:rPr>
          <w:rFonts w:ascii="Calibri" w:hAnsi="Calibri"/>
          <w:b w:val="0"/>
          <w:color w:val="3A4A28"/>
          <w:sz w:val="20"/>
        </w:rPr>
        <w:t>Oncology Phase 3 failure risk across any of the 14 pivotal trials could destroy significant pipeline value — industry base rates show majority of Phase 3 oncology programs fail, and BioNTech has no approved oncology products to fall back 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Biotechnology drug development is structurally immune to AI displacement — the irreducible complexity of human biology, multi-year clinical trial requirements, FDA/EMA regulatory approval processes, GMP manufacturing, and physical delivery of biological medicines cannot be substituted by AI tools [2]. BioNTech's proprietary mRNA platform, ADC conjugation chemistry, and bispecific antibody engineering represent deep scientific IP that requires wet-lab execution. AI may accelerate competitors' early-stage drug discovery, but BioNTech has its own AI capability through InstaDeep, leveling the playing field. The company is a beneficiary of AI-driven drug development acceleration, not a victim. AI Opportunity (1/1): BioNTech generates meaningful AI-derived value through its 2023 acquisition of InstaDeep, which powers AI-driven drug discovery, protein engineering, and individualized neoantigen vaccine design across the oncology pipeline [2]. InstaDeep operates as BioNTech's AI subsidiary with external clients, and the company hosted multiple AI Day events demonstrating production use cases.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BioNTech Q2 2026 Financial Results and Corporate Update — Revenue EUR 105.6M, H1 Loss EUR 1.35B, Guidance Lowered to EUR 1.6-1.9B, GlobeNewsWire, August 4, 2026</w:t>
      </w:r>
    </w:p>
    <w:p>
      <w:pPr>
        <w:spacing w:before="20" w:after="20"/>
        <w:ind w:left="170"/>
      </w:pPr>
      <w:r>
        <w:rPr>
          <w:rFonts w:ascii="Calibri" w:hAnsi="Calibri"/>
          <w:b/>
          <w:color w:val="4A6B25"/>
          <w:sz w:val="15"/>
        </w:rPr>
        <w:t xml:space="preserve">2. </w:t>
      </w:r>
      <w:r>
        <w:rPr>
          <w:rFonts w:ascii="Calibri" w:hAnsi="Calibri"/>
          <w:b w:val="0"/>
          <w:color w:val="3A4A28"/>
          <w:sz w:val="17"/>
        </w:rPr>
        <w:t>BioNTech CEO Appointment and Leadership Transition — Guido Oelkers Named CEO Succeeding Prof. Ugur Sahin, GlobeNewsWire and BioPharma Dive, August 2026</w:t>
      </w:r>
    </w:p>
    <w:p>
      <w:pPr>
        <w:spacing w:before="20" w:after="20"/>
        <w:ind w:left="170"/>
      </w:pPr>
      <w:r>
        <w:rPr>
          <w:rFonts w:ascii="Calibri" w:hAnsi="Calibri"/>
          <w:b/>
          <w:color w:val="4A6B25"/>
          <w:sz w:val="15"/>
        </w:rPr>
        <w:t xml:space="preserve">3. </w:t>
      </w:r>
      <w:r>
        <w:rPr>
          <w:rFonts w:ascii="Calibri" w:hAnsi="Calibri"/>
          <w:b w:val="0"/>
          <w:color w:val="3A4A28"/>
          <w:sz w:val="17"/>
        </w:rPr>
        <w:t>BioNTech ESG Performance — ISS ESG Prime Status, S&amp;P Sustainability Yearbook 2025, SBTi Climate Targets, SEC Filings 2024-2025</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StockAnalysis.com — BNTX Key Statistics: D/E 1.78%, ROE -9.3%, Profit Margin -63.64%, Stock Price $99.26,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