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BN</w:t>
      </w:r>
      <w:r>
        <w:rPr>
          <w:rFonts w:ascii="Calibri" w:hAnsi="Calibri"/>
          <w:b/>
          <w:color w:val="1A2010"/>
          <w:sz w:val="40"/>
        </w:rPr>
        <w:t xml:space="preserve">  Brookfield Corporation</w:t>
      </w:r>
    </w:p>
    <w:p>
      <w:pPr>
        <w:spacing w:after="120"/>
      </w:pPr>
      <w:r>
        <w:rPr>
          <w:rFonts w:ascii="Calibri" w:hAnsi="Calibri"/>
          <w:b/>
          <w:color w:val="6E8450"/>
          <w:sz w:val="18"/>
        </w:rPr>
        <w:t>GROWTH SLEEVE · 2026-10-19 · Inspire: 0 · INFINITE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68</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Financial Services · Asset Management · NYQ · Canada</w:t>
      </w:r>
    </w:p>
    <w:p>
      <w:pPr>
        <w:spacing w:after="80"/>
      </w:pPr>
      <w:r>
        <w:rPr>
          <w:rFonts w:ascii="Calibri" w:hAnsi="Calibri"/>
          <w:b w:val="0"/>
          <w:color w:val="3A4A28"/>
          <w:sz w:val="20"/>
        </w:rPr>
        <w:t>Brookfield Corporation is a global alternative asset manager with over $1 trillion in assets under management across infrastructure, renewable power and transition, private equity, real estate, credit, and insurance solutions. The company operates and invests in long-life, high-quality assets in more than 30 countries. CEO Bruce Flatt (30+ year tenure) has positioned Brookfield as a leading enabler of AI-driven infrastructure buildout through data centers, renewable energy, and the Radiant compute platform. Q2 2026 revenue was $19.4B (+7.3% YoY) with distributable earnings per share growth of 15.1% to $0.61 [1]. Market cap is $81.7B.</w:t>
      </w:r>
    </w:p>
    <w:p>
      <w:r>
        <w:rPr>
          <w:rFonts w:ascii="Calibri" w:hAnsi="Calibri"/>
          <w:b/>
          <w:color w:val="6E8450"/>
          <w:sz w:val="18"/>
        </w:rPr>
        <w:t>250,000 Employees · https://www.bn.brookfield.com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Brookfield has executed a multi-decade transformation from Brascan, a Brazilian utility and mining conglomerate, into the world's largest alternative asset manager by real-asset AUM, adding renewable power ($100B+), infrastructure, credit, and insurance platforms [1][2]. The 2022 corporate restructuring spinning off BAM as a pure-play fee-light vehicle was a significant structural innovation. The $100B AI infrastructure investment program in partnership with NVIDIA represents a transformative strategic pivot into AI compute. AI Deployment (1/2): Brookfield's Radiant compute platform (NVIDIA Cloud Partner) provides GPU-as-a-service leveraging Brookfield's global land, power, and data center infrastructure, with 2 GW+ of data center capacity developed and a $5B Bloom Energy framework agreement [2]. However, specific AI-product revenue has not been separately quantified in earnings reports. Market Share (2/2): Brookfield manages over $1T in AUM with fee-bearing capital of $672B (+19% YoY), one of the world's largest alternative asset managers and the largest owner-operator of renewable power assets globally [1]. In AI infrastructure, Brookfield is defining the category as one of few firms integrating land, power, connectivity, and compute at hyperscale. Product Pipeline (1/2): BAM raised a company record $77B in Q2 2026. The Brookfield AI Infrastructure Fund (BAIIF) targets $10B in initial equity commitments, and Wealth Solutions targets $200B in insurance assets [1][2]. However, specific product launch dates and revenue milestones beyond fund targets remain vague. R&amp;D Intensity (0/1): As an asset manager, Brookfield does not report traditional R&amp;D expenditure; innovation is expressed through capital allocation and operational transformation.</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Brookfield articulates its purpose as building and operating essential infrastructure that forms the backbone of the global economy — from renewable power to data centers to logistics networks [1]. The 'three Ds' framework (digitalization, decarbonization, deglobalization) provides distinctive strategic clarity validated by 30+ years of consistent execution under Bruce Flatt's leadership. The massive pivot into AI infrastructure clearly traces to this purpose. The mission is specific, thoughtful, and differentiates from peers, though it ultimately serves investors rather than describing a transformative future state. Community Impact (1/2): Brookfield Renewable is one of the world's largest publicly traded renewable power platforms (~34 GW), providing indirect community benefit through clean energy generation. However, environmental groups have criticized the firm for greenwashing, citing over 215 fossil fuel assets across the portfolio despite net-zero pledges, and the company's sustainability ambition applies only to 'operationally managed investments' [5][6]. Employee Retention (1/2): Flatt has served as CEO for 30+ years, with senior leaders including Nicholas Goodman, Sam Pollock, and Connor Teskey (BAM CEO at 38) demonstrating strong leadership continuity and a meritocratic culture [3]. However, no specific employee retention data across the enterprise is publicly available. Insider Buying (0/2): Director Jack Cockwell sold $12.4M of shares in June 2026, and Brian Lawson sold approximately 103,000 shares in early 2025, dwarfing Sam Pollock's $125K purchase. Net insider selling sends mixed signals despite the corporate buyback program.</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Brookfield's consolidated financial profile is structurally distorted by the holding company model: ROE of 2.3% (score 0.15, 2x weight) and profit margin of 1.8% (score 0.09) reflect the massive $80.7B consolidated revenue base against thin net income attributable to shareholders, not operational weakness [4]. The forward P/E of 6.24 (score 1.0) signals deep value, driven by expected distributable earnings acceleration as carried interest realizations increase and the AI infrastructure pipeline converts to revenue [1]. PEG ratio of 1.27 (score 0.87, 2x weight) is attractive. D/E of 161.4% (score 0.60) is elevated but typical for leveraged alternative asset managers with $269B in consolidated debt. Revenue growth YoY of 8.5% (score 0.95) and estimated 5-year revenue CAGR of ~5% (score 0.67, 2x weight) reflect steady expansion, with the 2022 entity restructuring complicating longer-term comparisons. Daily dollar volume of $173M provides ample liquidity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16A34A"/>
          <w:sz w:val="22"/>
        </w:rPr>
        <w:t>INFINITE</w:t>
      </w:r>
      <w:r>
        <w:rPr>
          <w:rFonts w:ascii="Calibri" w:hAnsi="Calibri"/>
          <w:b w:val="0"/>
          <w:color w:val="6E8450"/>
          <w:sz w:val="22"/>
        </w:rPr>
        <w:t xml:space="preserve">      Overall: </w:t>
      </w:r>
      <w:r>
        <w:rPr>
          <w:rFonts w:ascii="Calibri" w:hAnsi="Calibri"/>
          <w:b/>
          <w:color w:val="16A34A"/>
          <w:sz w:val="28"/>
        </w:rPr>
        <w:t>8</w:t>
      </w:r>
      <w:r>
        <w:rPr>
          <w:rFonts w:ascii="Calibri" w:hAnsi="Calibri"/>
          <w:b w:val="0"/>
          <w:color w:val="9DAF88"/>
          <w:sz w:val="18"/>
        </w:rPr>
        <w:t xml:space="preserve"> /10</w:t>
      </w:r>
    </w:p>
    <w:p>
      <w:pPr>
        <w:spacing w:after="120"/>
      </w:pPr>
      <w:r>
        <w:rPr>
          <w:rFonts w:ascii="Calibri" w:hAnsi="Calibri"/>
          <w:b w:val="0"/>
          <w:color w:val="3A4A28"/>
          <w:sz w:val="18"/>
        </w:rPr>
        <w:t>Brookfield under Bruce Flatt's 30+ year stewardship exemplifies infinite game thinking through consistent investment in long-duration, essential assets — infrastructure, renewables, real estate — that generate value over decades, not quarters. The willingness to transform from a Brazilian utility holding company into a $1 trillion alternative asset manager, and then pivot aggressively into AI infrastructure at $100B scale, demonstrates both existential flexibility and courage to lead. Flatt's philosophy of patient, contrarian capital deployment through market cycles aligns fundamentally with Sinek's infinite game principles.</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Brookfield's purpose — to be long-term stewards of real assets that form the backbone of the global economy and enable the energy transition — has been validated by 25+ years of consistent execution through the dot-com bust, GFC, COVID, and the current energy transition [1][2]. Flatt has noted that '50% of the assets Brookfield owns today didn't exist as an asset class 10-15 years ago,' reflecting purpose-driven evolution. However, the Just Cause is ultimately about deploying capital and generating returns — it describes what the company does exceptionally well but lacks the aspirational quality of a canonical transformative Just Cause.</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Brookfield's leadership stability is exceptional — Flatt's 30+ year tenure as CEO is extraordinary in financial services, and senior leaders including Goodman, Pollock, and McNeil have multi-decade tenures [3]. The meritocratic culture promotes leaders early (Connor Teskey named BAM CEO at 38). The decentralized operating model gives portfolio company management teams operational autonomy, suggesting organizational trust. However, Brookfield employs approximately 250,000 people across portfolio companies in 30+ countries, making cultural consistency unverifiable.</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Brookfield's competitive language consistently focuses on the scale of the global opportunity rather than defeating competitors. Flatt frames the AI infrastructure buildout as a multi-trillion-dollar opportunity where multiple firms will participate, rather than a zero-sum competition against Blackstone, KKR, or Apollo [3]. The Oaktree acquisition demonstrated willingness to partner with a worthy rival (Howard Marks) rather than compete, and the NVIDIA, OpenAI, Anthropic partnerships reflect a collaborative orientation.</w:t>
      </w:r>
    </w:p>
    <w:p>
      <w:pPr>
        <w:spacing w:before="200" w:after="40"/>
      </w:pPr>
      <w:r>
        <w:rPr>
          <w:rFonts w:ascii="Calibri" w:hAnsi="Calibri"/>
          <w:b/>
          <w:color w:val="1A2010"/>
          <w:sz w:val="22"/>
        </w:rPr>
        <w:t>Existential Flexibility</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(2/2): Brookfield has fundamentally reinvented itself multiple times — from Brascan (Brazilian utilities and mining) to a Canadian real estate operator, to a global $1T+ alternative asset manager spanning infrastructure, renewable power, private equity, real estate, and credit (Oaktree acquisition) [1][2]. Flatt noted that '50% of the assets Brookfield owns today didn't exist as an asset class 10-15 years ago.' The current pivots into AI infrastructure ($100B program with NVIDIA) and insurance asset management (Wealth Solutions targeting $200B) represent the latest existential flexions driven by strategic vision. Each transformation built on the previous one — hydroelectric expertise enabled renewables, which now enables the AI infrastructure pivot.</w:t>
      </w:r>
    </w:p>
    <w:p>
      <w:pPr>
        <w:spacing w:before="200" w:after="40"/>
      </w:pPr>
      <w:r>
        <w:rPr>
          <w:rFonts w:ascii="Calibri" w:hAnsi="Calibri"/>
          <w:b/>
          <w:color w:val="1A2010"/>
          <w:sz w:val="22"/>
        </w:rPr>
        <w:t>Courage To Lead</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(2/2): Flatt has demonstrated a consistent pattern of costly contrarian bets: the $100B AI infrastructure commitment (the largest private investment program in AI infrastructure globally), deploying $200B+ into energy transition assets before ESG investing became mainstream, acquiring distressed real estate during the GFC at deep discounts, and executing the bold BAM/BN structural split in 2022 despite short-term complexity [1][2]. The firm invested heavily in renewable power when returns were uncertain and continues to deploy into AI infrastructure at scale while acknowledging execution risks.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Brookfield at $36.62 with an $81.7B market cap offers compelling value for a $1T+ AUM alternative asset manager trading at just 6.2x forward earnings, reflecting the market's struggle to value BN's complex holding company structure [4]. Q2 2026 distributable earnings per share grew 15.1% to $0.61, annualizing to ~$2.44, while the company targets 15%+ annual DE growth through 2028 driven by $150B+ in deployable capital, accelerating realizations from mature vintage funds, and the structural tailwind of institutional capital shifting into real assets [1]. Brookfield Renewable (~34 GW) and Brookfield Infrastructure are direct beneficiaries of the AI buildout through power generation and data center ownership, positioning BN as a leveraged play on AI infrastructure demand without semiconductor valuation risk. The $100B AI infrastructure program with NVIDIA and partnerships with OpenAI and Anthropic provide specific investment catalysts [2].</w:t>
      </w:r>
    </w:p>
    <w:p>
      <w:pPr>
        <w:spacing w:after="120"/>
      </w:pPr>
      <w:r>
        <w:rPr>
          <w:rFonts w:ascii="Calibri" w:hAnsi="Calibri"/>
          <w:b w:val="0"/>
          <w:color w:val="3A4A28"/>
          <w:sz w:val="20"/>
        </w:rPr>
        <w:t>The bear case centers on structural opacity and financial complexity. BN's consolidated revenue of $80.7B produces thin GAAP profitability (1.8% margin, 2.3% ROE) that obscures the underlying economics of the asset management and operating businesses — distributable earnings, management's preferred metric, excludes mark-to-market losses, stock compensation, and other items, creating a significant gap between GAAP and adjusted profitability [1][4]. D/E of 161% with $269B in consolidated debt creates leverage risk if sustained high interest rates pressure portfolio company refinancing and distribution capacity. The stock price has fallen 6.7% below its 50-day SMA of $39.25, suggesting near-term momentum weakness. ESG credibility risk persists: critics cite over 215 fossil fuel assets across the portfolio despite net-zero pledges, and the company's sustainability ambition applies only to operationally managed investments [5][6]. Execution risk on the $100B AI infrastructure program is material — deploying capital of that scale requires sustained demand for AI compute over a multi-decade horizon, and any cyclical slowdown in hyperscaler capex could delay returns.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AI infrastructure deployment accelerating — $100B program with NVIDIA, Radiant compute platform, 2 GW+ data center capacity, $5B Bloom Energy partnership, and partnerships with OpenAI and Anthropic position Brookfield as the largest private AI infrastructure provider globally [2]</w:t>
      </w:r>
    </w:p>
    <w:p>
      <w:pPr>
        <w:spacing w:before="40" w:after="40"/>
        <w:ind w:left="283"/>
      </w:pPr>
      <w:r>
        <w:rPr>
          <w:rFonts w:ascii="Calibri" w:hAnsi="Calibri"/>
          <w:b/>
          <w:color w:val="4A6B25"/>
          <w:sz w:val="20"/>
        </w:rPr>
        <w:t xml:space="preserve">2. </w:t>
      </w:r>
      <w:r>
        <w:rPr>
          <w:rFonts w:ascii="Calibri" w:hAnsi="Calibri"/>
          <w:b w:val="0"/>
          <w:color w:val="3A4A28"/>
          <w:sz w:val="20"/>
        </w:rPr>
        <w:t>Distributable earnings compounding at 15%+ annually through 2028, driven by $150B+ in deployable capital, accelerating fund realizations from mature vintages, and growing fee-related earnings from $1T+ AUM base with record $77B quarterly fundraising [1]</w:t>
      </w:r>
    </w:p>
    <w:p>
      <w:pPr>
        <w:spacing w:before="40" w:after="40"/>
        <w:ind w:left="283"/>
      </w:pPr>
      <w:r>
        <w:rPr>
          <w:rFonts w:ascii="Calibri" w:hAnsi="Calibri"/>
          <w:b/>
          <w:color w:val="4A6B25"/>
          <w:sz w:val="20"/>
        </w:rPr>
        <w:t xml:space="preserve">3. </w:t>
      </w:r>
      <w:r>
        <w:rPr>
          <w:rFonts w:ascii="Calibri" w:hAnsi="Calibri"/>
          <w:b w:val="0"/>
          <w:color w:val="3A4A28"/>
          <w:sz w:val="20"/>
        </w:rPr>
        <w:t>Deep value entry point at 6.2x forward earnings and 1.27 PEG ratio — the $36.62 stock price implies significant skepticism about the earnings trajectory despite management buybacks exceeding $1B year-to-date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Holding company complexity obscures true economic value — GAAP profit margin of 1.8% and ROE of 2.3% structurally misrepresent underlying business quality, and the market may continue to apply a conglomerate discount until structural simplification delivers clearer value attribution [1][4]</w:t>
      </w:r>
    </w:p>
    <w:p>
      <w:pPr>
        <w:spacing w:before="40" w:after="40"/>
        <w:ind w:left="283"/>
      </w:pPr>
      <w:r>
        <w:rPr>
          <w:rFonts w:ascii="Calibri" w:hAnsi="Calibri"/>
          <w:b/>
          <w:color w:val="4A6B25"/>
          <w:sz w:val="20"/>
        </w:rPr>
        <w:t xml:space="preserve">2. </w:t>
      </w:r>
      <w:r>
        <w:rPr>
          <w:rFonts w:ascii="Calibri" w:hAnsi="Calibri"/>
          <w:b w:val="0"/>
          <w:color w:val="3A4A28"/>
          <w:sz w:val="20"/>
        </w:rPr>
        <w:t>Interest rate sensitivity across $269B in consolidated debt — rising rates compress long-duration infrastructure and real estate asset values while increasing borrowing costs, amplified by BN's 161% D/E ratio, with the stock already down from $39.25 SMA suggesting valuation pressure [4]</w:t>
      </w:r>
    </w:p>
    <w:p>
      <w:pPr>
        <w:spacing w:before="40" w:after="40"/>
        <w:ind w:left="283"/>
      </w:pPr>
      <w:r>
        <w:rPr>
          <w:rFonts w:ascii="Calibri" w:hAnsi="Calibri"/>
          <w:b/>
          <w:color w:val="4A6B25"/>
          <w:sz w:val="20"/>
        </w:rPr>
        <w:t xml:space="preserve">3. </w:t>
      </w:r>
      <w:r>
        <w:rPr>
          <w:rFonts w:ascii="Calibri" w:hAnsi="Calibri"/>
          <w:b w:val="0"/>
          <w:color w:val="3A4A28"/>
          <w:sz w:val="20"/>
        </w:rPr>
        <w:t>Greenwashing and ESG credibility risk — critics have identified over 215 fossil fuel assets across the portfolio despite net-zero pledges, with environmental groups flagging contradictions between Brookfield's climate commitments and its actual investment portfolio [5][6]</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Brookfield's core business is owning and operating real assets — infrastructure (toll roads, ports, data centers, utilities), renewable power plants, real estate, and industrial operations — all physical-world businesses that AI structurally cannot displace [2][3]. AI dramatically increases demand for Brookfield's core assets: every AI model trained requires power, cooling, connectivity, and physical data center space, all of which Brookfield supplies at scale. CEO Flatt has stated the company focuses on 'real assets where we don't take any technology risk' and described AI infrastructure as 'the most compelling opportunity in years' [3]. The two-point deduction reflects that some traditional real estate and PE portfolio companies face margin pressure from AI automation, and the asset management overlay could see competitive pressure from AI-driven deal sourcing over time. AI Opportunity (1/1): Brookfield generates meaningful AI-related revenue through multiple channels: 2 GW+ operational data center capacity, the Radiant compute platform (NVIDIA Cloud Partner), a $5B Bloom Energy partnership for behind-the-meter AI factory power, and partnerships with OpenAI and Anthropic [2]. Record $77B quarterly fundraising was partly driven by AI infrastructure demand.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Brookfield Corporation Q2 2026 Press Release — Revenue $19.4B (+7.3% YoY), DE Per Share $0.61 (+15.1%), DE Before Realizations $1.43B (+13.9%), August 2026</w:t>
      </w:r>
    </w:p>
    <w:p>
      <w:pPr>
        <w:spacing w:before="20" w:after="20"/>
        <w:ind w:left="170"/>
      </w:pPr>
      <w:r>
        <w:rPr>
          <w:rFonts w:ascii="Calibri" w:hAnsi="Calibri"/>
          <w:b/>
          <w:color w:val="4A6B25"/>
          <w:sz w:val="15"/>
        </w:rPr>
        <w:t xml:space="preserve">2. </w:t>
      </w:r>
      <w:r>
        <w:rPr>
          <w:rFonts w:ascii="Calibri" w:hAnsi="Calibri"/>
          <w:b w:val="0"/>
          <w:color w:val="3A4A28"/>
          <w:sz w:val="17"/>
        </w:rPr>
        <w:t>Brookfield AI Infrastructure Strategy — $100B Program with NVIDIA, Radiant Compute Platform, $5B Bloom Energy Partnership, Partnerships with OpenAI and Anthropic, 2 GW+ Data Center Capacity, 2025-2026</w:t>
      </w:r>
    </w:p>
    <w:p>
      <w:pPr>
        <w:spacing w:before="20" w:after="20"/>
        <w:ind w:left="170"/>
      </w:pPr>
      <w:r>
        <w:rPr>
          <w:rFonts w:ascii="Calibri" w:hAnsi="Calibri"/>
          <w:b/>
          <w:color w:val="4A6B25"/>
          <w:sz w:val="15"/>
        </w:rPr>
        <w:t xml:space="preserve">3. </w:t>
      </w:r>
      <w:r>
        <w:rPr>
          <w:rFonts w:ascii="Calibri" w:hAnsi="Calibri"/>
          <w:b w:val="0"/>
          <w:color w:val="3A4A28"/>
          <w:sz w:val="17"/>
        </w:rPr>
        <w:t>Brookfield CEO Bruce Flatt on AI Infrastructure Opportunity — 'Most Compelling Opportunity in Years,' Risk Management Approach, AI Not Systemic Threat — Bloomberg, Benzinga, The Logic, February-May 2026</w:t>
      </w:r>
    </w:p>
    <w:p>
      <w:pPr>
        <w:spacing w:before="20" w:after="20"/>
        <w:ind w:left="170"/>
      </w:pPr>
      <w:r>
        <w:rPr>
          <w:rFonts w:ascii="Calibri" w:hAnsi="Calibri"/>
          <w:b/>
          <w:color w:val="4A6B25"/>
          <w:sz w:val="15"/>
        </w:rPr>
        <w:t xml:space="preserve">4. </w:t>
      </w:r>
      <w:r>
        <w:rPr>
          <w:rFonts w:ascii="Calibri" w:hAnsi="Calibri"/>
          <w:b w:val="0"/>
          <w:color w:val="3A4A28"/>
          <w:sz w:val="17"/>
        </w:rPr>
        <w:t>Yahoo Finance — BN key statistics: $36.62 price, Forward P/E 6.24, PEG 1.27, D/E 161.4%, ROE 2.3%, Profit Margin 1.8%, Avg Volume 4.73M, accessed October 2026</w:t>
      </w:r>
    </w:p>
    <w:p>
      <w:pPr>
        <w:spacing w:before="20" w:after="20"/>
        <w:ind w:left="170"/>
      </w:pPr>
      <w:r>
        <w:rPr>
          <w:rFonts w:ascii="Calibri" w:hAnsi="Calibri"/>
          <w:b/>
          <w:color w:val="4A6B25"/>
          <w:sz w:val="15"/>
        </w:rPr>
        <w:t xml:space="preserve">5. </w:t>
      </w:r>
      <w:r>
        <w:rPr>
          <w:rFonts w:ascii="Calibri" w:hAnsi="Calibri"/>
          <w:b w:val="0"/>
          <w:color w:val="3A4A28"/>
          <w:sz w:val="17"/>
        </w:rPr>
        <w:t>Brookfield Corporation 2024 Sustainability Report — Net-Zero Ambition for Operationally Managed Investments, Sustainalytics Moderate Controversy Level — bn.brookfield.com, Yahoo Finance, 2024-2025</w:t>
      </w:r>
    </w:p>
    <w:p>
      <w:pPr>
        <w:spacing w:before="20" w:after="20"/>
        <w:ind w:left="170"/>
      </w:pPr>
      <w:r>
        <w:rPr>
          <w:rFonts w:ascii="Calibri" w:hAnsi="Calibri"/>
          <w:b/>
          <w:color w:val="4A6B25"/>
          <w:sz w:val="15"/>
        </w:rPr>
        <w:t xml:space="preserve">6. </w:t>
      </w:r>
      <w:r>
        <w:rPr>
          <w:rFonts w:ascii="Calibri" w:hAnsi="Calibri"/>
          <w:b w:val="0"/>
          <w:color w:val="3A4A28"/>
          <w:sz w:val="17"/>
        </w:rPr>
        <w:t>Private Equity Climate Risks — Brookfield's Climate Paradox: Over 215 Fossil Fuel Assets Despite Climate Pledges, Ricochet Tax Avoidance Reporting, 2025</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