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BPRE</w:t>
      </w:r>
      <w:r>
        <w:rPr>
          <w:rFonts w:ascii="Calibri" w:hAnsi="Calibri"/>
          <w:b/>
          <w:color w:val="1A2010"/>
          <w:sz w:val="40"/>
        </w:rPr>
        <w:t xml:space="preserve">  Bluerock Private Real Estate Fund</w:t>
      </w:r>
    </w:p>
    <w:p>
      <w:pPr>
        <w:spacing w:after="120"/>
      </w:pPr>
      <w:r>
        <w:rPr>
          <w:rFonts w:ascii="Calibri" w:hAnsi="Calibri"/>
          <w:b/>
          <w:color w:val="6E8450"/>
          <w:sz w:val="18"/>
        </w:rPr>
        <w:t>GROWTH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Bluerock Private Real Estate Fund is the only NYSE-listed closed-end fund offering dedicated access to private institutional real estate and the largest real estate-focused closed-end fund on the market. With approximately $3.2B in net assets as of August 2026, the fund maintains positions in 25 private equity and 17 private debt real estate investments with underlying assets valued at approximately $250B. Listed on the NYSE in December 2025 after converting from an interval fund structure, BPRE has raised its distribution rate four times to 7% annualized on NAV, and is actively rotating capital from legacy core+ holdings into high-growth, next-generation real estate sectors.</w:t>
      </w:r>
    </w:p>
    <w:p>
      <w:r>
        <w:rPr>
          <w:rFonts w:ascii="Calibri" w:hAnsi="Calibri"/>
          <w:b/>
          <w:color w:val="6E8450"/>
          <w:sz w:val="18"/>
        </w:rPr>
        <w:t>https://bluerock.com/bluerock-private-real-estate-fund/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BPRE's conversion from a non-traded interval fund to an NYSE-listed closed-end fund in December 2025 created a structurally unique vehicle, though the listing triggered immediate investor losses as market price dropped well below NAV [1]. Four distribution increases in nine months demonstrate income execution, and management has begun rotating capital from legacy core+ into high-growth sectors including data centers and life sciences [2]. AI Deployment (0/2): No AI-powered analytics, portfolio optimization, or data-driven investment capabilities have been publicly disclosed; the fund operates a traditional private real estate investment model [1]. Market Share (1/2): Unique market position as the only NYSE-listed CEF providing dedicated private real estate access, differentiating structurally from public REITs and non-traded alternatives [1]. Pipeline (1/2): Approximately $700M in specialty real estate investments closed, under contract, or in pipeline, with strategic rotation toward next-generation sectors [2]. R&amp;D Intensity (0/1): Not applicable to a closed-end fund 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fund's purpose — delivering institutional-quality private real estate access to a broader investor base — is functional but not inspirational, interchangeable with any income-focused investment vehicle [1]. Community Impact (0/2): No evidence of charitable programs, community development, or ESG-linked initiatives beyond standard real estate operations. Employee Retention (1/2): Founder and CEO Ramin Kamfar has led Bluerock since 2002, providing 24 years of leadership continuity [3]. However, Glassdoor reviews reveal a mixed to negative culture: reports of a 'mate culture' at the top protecting certain leaders from accountability, extremely high turnover attributed to burnout from upper management, toxic male-oriented attitudes among directors, and below-market compensation [3]. Insider Buying (0/2): No evidence of meaningful insider open-market stock purchases; four distribution increases since listing signal management confidence in the fund but not personal capital commitment.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for this closed-end fund structure. D/E of 15.08% is well below the 70% target, reflecting conservative fund-level leverage (score 1.0) [1]. However, profit margin registers at 0.0%, at the floor (score 0.0), as the fund's income is substantially distributed rather than retained [4]. Most standard operating metrics — ROE, forward P/E, PEG ratio, revenue growth — are either unavailable or structurally inapplicable to a closed-end fund. The stock trades at $12.49 against a reported NAV of approximately $23.65 as of March 2026, representing a roughly 47% discount to NAV — a significant red flag indicating deep market skepticism about underlying asset valuations [2]. NAV declined from $25.33 to $23.65 during the first six months of 2026 while distributions totaled only $0.67, meaning net capital erosion. Daily dollar volume of approximately $11.3M provides adequate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Bluerock's 24-year operating history under founder Ramin Kamfar and its unique NYSE-listed CEF positioning suggest some institutional durability, but finite-game markers dominate: a 47% discount to NAV within the first year of listing, aggressive distribution increases that may prioritize short-term yield attractiveness over long-term capital preservation, Glassdoor reports of toxic upper management culture and high turnover, and strategic language centered on 'maximizing shareholder value' — the vocabulary of quarterly performance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Bluerock's purpose — providing retail investors access to institutional-quality private real estate — addresses a genuine market gap but is fundamentally a financial services value proposition rather than a transformative cause [1]. Four distribution increases in under a year prioritize short-term investor appeal over patient capital allocation. The fund's strategic roadmap focuses on 'rotating capital into high-growth, next generation real estate sectors' to 'maximize shareholder value,' which is standard investment management language, not a Just Cause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present concerning patterns at Bluerock: employees report a 'mate culture' at the top where certain leaders are shielded from accountability, extremely high turnover attributed to burnout from upper management, toxic male-oriented attitudes among directors, and below-market compensation with insufficient benefits [3]. The externally managed fund structure means the fund entity itself has no direct employees, but the management company's culture directly impacts investment quality and governance.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public evidence that Bluerock management benchmarks against competing private real estate vehicles (Blackstone BREIT, Starwood SREIT, KKR Real Estate) with a learning orientation. The positioning as 'the only NYSE-listed CEF' in this space suggests differentiation marketing rather than competitive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rotation from legacy core+ holdings into next-generation real estate sectors — data centers, life sciences facilities, industrial logistics — demonstrates willingness to evolve the portfolio thesis in response to structural shifts in real estate demand [2]. The conversion from interval fund to NYSE-listed CEF was a meaningful structural change, though it resulted in immediate investor losses and market price erosion.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list on NYSE in December 2025, converting from a non-traded interval fund to a public vehicle, demonstrated structural boldness that accepted near-term price volatility for permanent liquidity and market access [1]. The subsequent four distribution increases show commitment to building public market credibility. However, the aggressive distribution pace combined with declining NAV (from $25.33 to $23.65 in six months) suggests management may be prioritizing yield-driven retail demand over sustainable capital stewardship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BPRE occupies a unique structural niche as the only NYSE-listed closed-end fund dedicated to private real estate, offering access to a $3.2B portfolio of institutional-quality assets across 25 private equity and 17 private debt investments [1]. The 7% annualized distribution rate on NAV, increased four times since the December 2025 listing, provides attractive income, and D/E of just 15% reflects conservative fund-level leverage [2][4]. Management's strategic rotation from core+ to high-growth sectors like data centers and life sciences could position the fund for secular tailwinds from AI infrastructure demand and demographic shifts.</w:t>
      </w:r>
    </w:p>
    <w:p>
      <w:pPr>
        <w:spacing w:after="120"/>
      </w:pPr>
      <w:r>
        <w:rPr>
          <w:rFonts w:ascii="Calibri" w:hAnsi="Calibri"/>
          <w:b w:val="0"/>
          <w:color w:val="3A4A28"/>
          <w:sz w:val="20"/>
        </w:rPr>
        <w:t>The bear case is substantial. BPRE trades at a roughly 47% discount to its reported NAV of ~$23.65, suggesting the market deeply doubts the accuracy of private real estate valuations or the fund's ability to realize stated asset values [2]. NAV declined from $25.33 to $23.65 in the first six months of 2026, meaning investors received $0.67 in distributions but lost $1.68 in NAV — net destruction of capital. The aggressive distribution pace may be unsustainable if underlying real estate cash flows deteriorate. The fund's sub-one-year public track record provides insufficient transparency for confident fundamental analysis, and Glassdoor reviews indicating toxic management culture and high turnover at Bluerock raise governance concerns [3]. The interval-to-CEF conversion triggered investor lawsuits over immediate post-listing losses.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portfolio rotation into high-growth real estate sectors (data centers, life sciences, industrial) could drive NAV appreciation as AI infrastructure demand and demographic trends materialize [2]</w:t>
      </w:r>
    </w:p>
    <w:p>
      <w:pPr>
        <w:spacing w:before="40" w:after="40"/>
        <w:ind w:left="283"/>
      </w:pPr>
      <w:r>
        <w:rPr>
          <w:rFonts w:ascii="Calibri" w:hAnsi="Calibri"/>
          <w:b/>
          <w:color w:val="4A6B25"/>
          <w:sz w:val="20"/>
        </w:rPr>
        <w:t xml:space="preserve">2. </w:t>
      </w:r>
      <w:r>
        <w:rPr>
          <w:rFonts w:ascii="Calibri" w:hAnsi="Calibri"/>
          <w:b w:val="0"/>
          <w:color w:val="3A4A28"/>
          <w:sz w:val="20"/>
        </w:rPr>
        <w:t>Potential for NAV discount narrowing if market confidence in private real estate valuations improves, offering significant upside from the current ~47% discount [2]</w:t>
      </w:r>
    </w:p>
    <w:p>
      <w:pPr>
        <w:spacing w:before="40" w:after="40"/>
        <w:ind w:left="283"/>
      </w:pPr>
      <w:r>
        <w:rPr>
          <w:rFonts w:ascii="Calibri" w:hAnsi="Calibri"/>
          <w:b/>
          <w:color w:val="4A6B25"/>
          <w:sz w:val="20"/>
        </w:rPr>
        <w:t xml:space="preserve">3. </w:t>
      </w:r>
      <w:r>
        <w:rPr>
          <w:rFonts w:ascii="Calibri" w:hAnsi="Calibri"/>
          <w:b w:val="0"/>
          <w:color w:val="3A4A28"/>
          <w:sz w:val="20"/>
        </w:rPr>
        <w:t>Conservative 15% D/E ratio provides capacity for accretive leverage or acquisitions without balance sheet stress, supporting continued distribution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47% discount to NAV signals deep market skepticism about reported private real estate valuations — private marks are inherently lagged and may not reflect current conditions [2]</w:t>
      </w:r>
    </w:p>
    <w:p>
      <w:pPr>
        <w:spacing w:before="40" w:after="40"/>
        <w:ind w:left="283"/>
      </w:pPr>
      <w:r>
        <w:rPr>
          <w:rFonts w:ascii="Calibri" w:hAnsi="Calibri"/>
          <w:b/>
          <w:color w:val="4A6B25"/>
          <w:sz w:val="20"/>
        </w:rPr>
        <w:t xml:space="preserve">2. </w:t>
      </w:r>
      <w:r>
        <w:rPr>
          <w:rFonts w:ascii="Calibri" w:hAnsi="Calibri"/>
          <w:b w:val="0"/>
          <w:color w:val="3A4A28"/>
          <w:sz w:val="20"/>
        </w:rPr>
        <w:t>NAV declined from $25.33 to $23.65 in H1 2026 while distributions totaled only $0.67, indicating net capital erosion that aggressive yield marketing cannot mask [2]</w:t>
      </w:r>
    </w:p>
    <w:p>
      <w:pPr>
        <w:spacing w:before="40" w:after="40"/>
        <w:ind w:left="283"/>
      </w:pPr>
      <w:r>
        <w:rPr>
          <w:rFonts w:ascii="Calibri" w:hAnsi="Calibri"/>
          <w:b/>
          <w:color w:val="4A6B25"/>
          <w:sz w:val="20"/>
        </w:rPr>
        <w:t xml:space="preserve">3. </w:t>
      </w:r>
      <w:r>
        <w:rPr>
          <w:rFonts w:ascii="Calibri" w:hAnsi="Calibri"/>
          <w:b w:val="0"/>
          <w:color w:val="3A4A28"/>
          <w:sz w:val="20"/>
        </w:rPr>
        <w:t>Sub-one-year public track record, Glassdoor-reported toxic management culture, and investor lawsuits from the interval-to-CEF conversion create governance and reputational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Private real estate as an asset class has strong insulation from AI disruption — physical properties, land, and buildings cannot be digitally replicated or substituted [1]. The fund's portfolio of 25 private equity and 17 private debt real estate investments represents ownership of tangible assets. However, AI-powered property valuation models, predictive analytics for tenant selection and rent optimization, and automated deal sourcing are shifting competitive advantages toward technology-enabled operators and funds. PropTech startups leveraging AI for real estate investment analysis could erode the informational edge of traditional fund managers. The fund's rotation into data center real estate could paradoxically benefit from AI-driven demand for compute infrastructure [2]. AI Opportunity (1/1): AI could enhance portfolio management through predictive maintenance analytics and automated due diligence, and increasing AI adoption across industries may drive demand for data center and specialty real estate in the fund's target sectors.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Bluerock Private Real Estate Fund — CNBC, Yahoo Finance, GuruFocus, Fund Overview and SEC Filing Form N-CSRS,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Bluerock Private Real Estate Fund Distribution Increase to 7% on NAV — PRNewswire, Blue Vault Partners, Nasdaq Press Release, May-September 2026</w:t>
      </w:r>
    </w:p>
    <w:p>
      <w:pPr>
        <w:spacing w:before="20" w:after="20"/>
        <w:ind w:left="170"/>
      </w:pPr>
      <w:r>
        <w:rPr>
          <w:rFonts w:ascii="Calibri" w:hAnsi="Calibri"/>
          <w:b/>
          <w:color w:val="4A6B25"/>
          <w:sz w:val="15"/>
        </w:rPr>
        <w:t xml:space="preserve">3. </w:t>
      </w:r>
      <w:r>
        <w:rPr>
          <w:rFonts w:ascii="Calibri" w:hAnsi="Calibri"/>
          <w:b w:val="0"/>
          <w:color w:val="3A4A28"/>
          <w:sz w:val="17"/>
        </w:rPr>
        <w:t>Bluerock Capital Markets Glassdoor Reviews and Leadership — Glassdoor, The Org, LinkedIn,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BPRE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