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BP</w:t>
      </w:r>
      <w:r>
        <w:rPr>
          <w:rFonts w:ascii="Calibri" w:hAnsi="Calibri"/>
          <w:b/>
          <w:color w:val="1A2010"/>
          <w:sz w:val="40"/>
        </w:rPr>
        <w:t xml:space="preserve">  BP p.l.c.</w:t>
      </w:r>
    </w:p>
    <w:p>
      <w:pPr>
        <w:spacing w:after="120"/>
      </w:pPr>
      <w:r>
        <w:rPr>
          <w:rFonts w:ascii="Calibri" w:hAnsi="Calibri"/>
          <w:b/>
          <w:color w:val="6E8450"/>
          <w:sz w:val="18"/>
        </w:rPr>
        <w:t>DIVIDEND SLEEVE · 2026-10-09 · Inspire: -69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United Kingdom</w:t>
      </w:r>
    </w:p>
    <w:p>
      <w:pPr>
        <w:spacing w:after="80"/>
      </w:pPr>
      <w:r>
        <w:rPr>
          <w:rFonts w:ascii="Calibri" w:hAnsi="Calibri"/>
          <w:b w:val="0"/>
          <w:color w:val="3A4A28"/>
          <w:sz w:val="20"/>
        </w:rPr>
        <w:t>BP p.l.c. is an integrated energy company operating worldwide through Gas &amp; Low Carbon Energy, Oil Production &amp; Operations, and Customers &amp; Products segments. CEO Meg O'Neill (effective April 2026, from Woodside Energy) is BP's fourth CEO since 2020 and first external hire in over a century — she eliminated the 'low carbon energy' business unit, simplified the organizational chart, and reemphasized core oil and gas operations. Q2 2026 delivered underlying replacement-cost profit of $5.7B (vs $2.4B Q2 2025), while Q1 2026 revenue of $52.3B rose 11.5% YoY with $3.8B profit (+453% YoY). Market cap ~$119B.</w:t>
      </w:r>
    </w:p>
    <w:p>
      <w:r>
        <w:rPr>
          <w:rFonts w:ascii="Calibri" w:hAnsi="Calibri"/>
          <w:b/>
          <w:color w:val="6E8450"/>
          <w:sz w:val="18"/>
        </w:rPr>
        <w:t>93,700 Employees · https://www.bp.com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BP's most significant recent development is the strategic overhaul under CEO O'Neill, who eliminated the standalone 'low carbon energy' business unit and restructured to simplify the organizational chart [2]. This follows the 2020 renewables pivot under Looney, reversal under interim leadership, and now O'Neill's fresh approach — representing oscillating strategic directions rather than successful transformation. Production growth was solid at 4.5% YoY in Q1 2026. AI Deployment (0/2): No evidence of shipping AI-powered products or reporting specific AI-driven revenue gains. O'Neill has not articulated a specific AI strategy, and former CEO Auchincloss's AI data center exploration departed with him [2]. Market Share (1/2): BP is a top-five global integrated oil and gas company with production growing 4.5% YoY. Q1 2026 revenue of $52.3B (+11.5% YoY) and Q2 underlying RC profit of $5.7B demonstrate massive scale [1]. Meaningful player but not a category leader in any specific segment. Product Pipeline (1/2): Resharpened LNG strategy and trading optimization provide some pipeline visibility. Q2 results benefited from higher liquids and gas realizations and stronger refining margins [1]. However, no specific next-generation products with named launch dates. R&amp;D Intensity (1/1): BP invests above average for the integrated oil major peer group, though O'Neill's redirection from renewables back to core hydrocarbons shifts the R&amp;D profile.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BP's stated purpose of 'reimagining energy for people and our planet' has been fundamentally undermined by the strategic reversal — O'Neill eliminated the 'low carbon energy' business unit, the opposite of what 'reimagining energy' implied [2]. The disconnect between stated purpose and actual strategy erodes credibility. Four CEOs in six years means no leader has championed a consistent purpose long enough to validate it through execution. Community Impact (1/2): BP maintains charitable foundation and community investment programs. At the 2026 AGM, shareholders voted to maintain climate-related disclosures, showing institutional commitment to transparency [3]. However, the board chair ouster and governance controversy undermine community trust. Employee Retention (0/2): Four CEOs since 2020 — Looney (personal conduct departure), Auchincloss (brief tenure), and now O'Neill as the fourth in six years — represents severe leadership instability that erodes organizational trust [2]. The 93,700 employees face continuous strategic uncertainty with each leadership change. Insider Buying (1/2): No notable net insider buying identified. O'Neill is new to the role (April 2026), limiting insider transaction history at BP. Some institutional conviction evidenced by up to 60 ESG funds maintaining positions as of late 2025 despite the climate retreat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(yield 4.35%, 15+ consecutive years paid since post-Deepwater Horizon resumption). D/E improved to 95.1% (score 0.89), down from 124% in August 2026, reflecting balance sheet deleveraging from strong H1 2026 cash flows [1]. ROE of 8.87% remains below the 15% target (score 0.59). Revenue growth YoY of 48.2% far exceeds the 10% target (score 1.0), driven by elevated commodity prices, while 5yr CAGR estimated at 5% (score 0.67) reflects recovery from COVID-era lows. Forward P/E of 8.69 is attractively low (score 1.0). Profit margin of 2.55% is thin (score 0.13) — the weakest metric among integrated oil majors. Trailing payout ratio of 95.25% sits near the 100% floor (score 0.08), though forward payout on improved earnings is substantially better. Consecutive years paid of 15 (since 2011 post-Deepwater Horizon resumption, score 1.0, 2x weight). Consecutive years growth of 5 (score 0.50). 5yr dividend growth CAGR of approximately 3% (score 0.50, 2x weight) reflects recovery from the 2020 cut. Daily dollar volume of $407M provides maximum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BP under its fourth CEO in six years remains the archetype of a finite game player in Sinek's framework. O'Neill's elimination of the 'low carbon energy' business unit completes the abandonment of the 'reimagining energy' purpose that guided BP's strategy from 2020-2024 [2]. The Q2 2026 results ($5.7B underlying profit) came from elevated commodity prices driven by geopolitical dynamics, not from strategic positioning — BP is performing well by macro accident rather than cause-driven design. The board chair ouster over bullying allegations, shareholder votes against governance proposals, and continuous leadership turnover create an organization optimized for short-term survival rather than long-term endurance [3].</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BP's stated purpose of 'reimagining energy' has been explicitly abandoned — O'Neill eliminated the low carbon energy business unit, the organizational embodiment of that purpose [2]. Four CEOs in six years means no leader has championed a consistent cause long enough to validate it. BP's current strategy is maximizing shareholder value through oil and gas production and trading — the prototypical finite objective Sinek warns against. The company that pioneered 'Beyond Petroleum' branding now has no articulated vision beyond commodity extraction.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Four CEOs in six years — including Looney's departure over personal conduct — represents severe leadership instability that erodes organizational trust [2]. Board chair Albert Manifold was ousted in mid-2026 amid allegations of bullying and overbearing conduct, adding another layer of institutional disruption [3]. At the 2026 AGM, shareholders voted against governance proposals, signaling deep institutional distrust. The 93,700 employees face continuous strategic uncertainty with each leadership change, undermining any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BP's competitive language focuses on closing the valuation gap versus Shell and ExxonMobil through production growth, cost reduction, and shareholder returns — finite metrics [1]. O'Neill's restructuring appears driven by peer pressure (ExxonMobil and Chevron outperforming BP on returns) rather than learning from rivals' strengths. The strategic pivots mirror industry trends rather than demonstrating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BP has demonstrated willingness to pivot — from oil and gas to renewables under Looney (2020), back to oil and gas under Auchincloss (2025), and now a restructured approach under O'Neill with the low carbon unit eliminated [2]. The company's 118-year history includes multiple reinventions from Anglo-Persian Oil to British Petroleum to BP to Beyond Petroleum and back. However, Sinek would argue these pivots were reactive to commodity cycles, activist pressure, and board instability rather than driven by a consistent Just Cause, making them opportunistic rather than purposeful.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O'Neill has made bold early moves — eliminating the low carbon energy unit, restructuring the organization, simplifying the chart, and raising the dividend 4% [1][2]. These represent decisive action in her first months. However, eliminating renewables while commodity prices are elevated is the easy choice, not the courageous one. Courage in Sinek's framework means investing against the current when it serves the cause. O'Neill's moves align with the current commodity cycle rather than a long-term conviction tested by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BP at $46.36 with a ~$119B market cap is one of the cheapest integrated oil majors globally at 8.69x forward earnings with a 4.35% dividend yield. H1 2026 demonstrated a powerful earnings inflection — Q1 profit surged 453% YoY to $3.8B on $52.3B revenue (+11.5%), and Q2 underlying RC profit reached $5.7B (more than double Q2 2025) driven by higher liquids and gas realizations and stronger refining margins [1]. New CEO Meg O'Neill has moved decisively — eliminating the low carbon energy unit, restructuring the organization, raising the dividend 4% — bringing operational credibility from Woodside Energy as the first external hire in over a century [2]. D/E improved to 95.1% from 124% as elevated cash flows fund deleveraging, and the 15-year unbroken dividend payment history (post-Deepwater Horizon) anchors income investor appeal.</w:t>
      </w:r>
    </w:p>
    <w:p>
      <w:pPr>
        <w:spacing w:after="120"/>
      </w:pPr>
      <w:r>
        <w:rPr>
          <w:rFonts w:ascii="Calibri" w:hAnsi="Calibri"/>
          <w:b w:val="0"/>
          <w:color w:val="3A4A28"/>
          <w:sz w:val="20"/>
        </w:rPr>
        <w:t>The bear case centers on governance instability, commodity dependency, and structural financial weakness. Four CEOs in six years — including Looney's personal conduct departure and the board chair's ouster over bullying allegations — represents the worst leadership continuity among major oil companies [2][3]. At the 2026 AGM, shareholders rejected governance proposals and key institutional investors including Legal &amp; General opposed board reappointments over the climate U-turn. Profit margin of just 2.55% and ROE of 8.87% remain the weakest among integrated oil majors — the earnings surge reflects elevated commodity prices, not operational improvement [1]. The trailing payout ratio of 95.25% underscores dividend vulnerability if commodity prices normalize; a return to $70/bbl oil would pressure the dividend, potentially triggering BP's third cut in 15 years. The 5yr dividend growth CAGR of only 3% reflects the 2020 cut's lingering impact. The Inspire score of -69 (MISALIGNED) makes BP inaccessible to faith-based mandates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CEO O'Neill's restructuring — eliminating the low carbon unit, simplifying the organization, focusing on core oil and gas operations — could improve operating margins and close the valuation gap versus Shell and ExxonMobil within 12-18 months [2]</w:t>
      </w:r>
    </w:p>
    <w:p>
      <w:pPr>
        <w:spacing w:before="40" w:after="40"/>
        <w:ind w:left="283"/>
      </w:pPr>
      <w:r>
        <w:rPr>
          <w:rFonts w:ascii="Calibri" w:hAnsi="Calibri"/>
          <w:b/>
          <w:color w:val="4A6B25"/>
          <w:sz w:val="20"/>
        </w:rPr>
        <w:t xml:space="preserve">2. </w:t>
      </w:r>
      <w:r>
        <w:rPr>
          <w:rFonts w:ascii="Calibri" w:hAnsi="Calibri"/>
          <w:b w:val="0"/>
          <w:color w:val="3A4A28"/>
          <w:sz w:val="20"/>
        </w:rPr>
        <w:t>Balance sheet improvement with D/E declining from 124% to 95.1% driven by elevated H1 2026 cash flows, creating capacity for additional shareholder returns through buybacks and dividend growth [1]</w:t>
      </w:r>
    </w:p>
    <w:p>
      <w:pPr>
        <w:spacing w:before="40" w:after="40"/>
        <w:ind w:left="283"/>
      </w:pPr>
      <w:r>
        <w:rPr>
          <w:rFonts w:ascii="Calibri" w:hAnsi="Calibri"/>
          <w:b/>
          <w:color w:val="4A6B25"/>
          <w:sz w:val="20"/>
        </w:rPr>
        <w:t xml:space="preserve">3. </w:t>
      </w:r>
      <w:r>
        <w:rPr>
          <w:rFonts w:ascii="Calibri" w:hAnsi="Calibri"/>
          <w:b w:val="0"/>
          <w:color w:val="3A4A28"/>
          <w:sz w:val="20"/>
        </w:rPr>
        <w:t>Forward P/E of 8.69x and 4.35% dividend yield create deep value potential if governance stabilizes and O'Neill delivers consistent execution over the next 2-3 years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crisis remains unresolved — board chair ousted over bullying allegations, shareholder revolt at 2026 AGM, and four CEOs in six years signal institutional instability that deters long-term capital allocation [2][3]</w:t>
      </w:r>
    </w:p>
    <w:p>
      <w:pPr>
        <w:spacing w:before="40" w:after="40"/>
        <w:ind w:left="283"/>
      </w:pPr>
      <w:r>
        <w:rPr>
          <w:rFonts w:ascii="Calibri" w:hAnsi="Calibri"/>
          <w:b/>
          <w:color w:val="4A6B25"/>
          <w:sz w:val="20"/>
        </w:rPr>
        <w:t xml:space="preserve">2. </w:t>
      </w:r>
      <w:r>
        <w:rPr>
          <w:rFonts w:ascii="Calibri" w:hAnsi="Calibri"/>
          <w:b w:val="0"/>
          <w:color w:val="3A4A28"/>
          <w:sz w:val="20"/>
        </w:rPr>
        <w:t>Commodity dependency: H1 2026 profits were driven by elevated oil and gas prices from geopolitical dynamics, not operational improvement — a return to normalized commodity prices would compress earnings 40-50% and pressure the 95.25% trailing payout ratio toward another dividend cut [1]</w:t>
      </w:r>
    </w:p>
    <w:p>
      <w:pPr>
        <w:spacing w:before="40" w:after="40"/>
        <w:ind w:left="283"/>
      </w:pPr>
      <w:r>
        <w:rPr>
          <w:rFonts w:ascii="Calibri" w:hAnsi="Calibri"/>
          <w:b/>
          <w:color w:val="4A6B25"/>
          <w:sz w:val="20"/>
        </w:rPr>
        <w:t xml:space="preserve">3. </w:t>
      </w:r>
      <w:r>
        <w:rPr>
          <w:rFonts w:ascii="Calibri" w:hAnsi="Calibri"/>
          <w:b w:val="0"/>
          <w:color w:val="3A4A28"/>
          <w:sz w:val="20"/>
        </w:rPr>
        <w:t>Structural profitability weakness with 2.55% profit margin and 8.87% ROE remaining the weakest among integrated oil majors despite the revenue surge, reflecting persistent operational inefficiencies across four CEO regimes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BP's core business involves physical-world oil and gas exploration, production, refining, and distribution operations that AI cannot substitute [1]. Drilling wells, operating refineries, transporting petroleum products, and managing LNG facilities require physical infrastructure and operations structurally beyond AI's capability. The integrated oil and gas business model has deep regulatory, capital, and physical barriers to entry. AI may actually increase demand for energy as AI data centers consume growing amounts of electricity — a tailwind BP benefits from as a producer. Some exposure exists in trading operations where AI could enhance commodity strategies, but this represents optimization opportunity rather than substitution risk. AI Opportunity (0/1): No meaningful AI-related revenue. O'Neill has not articulated an AI strategy, and BP does not currently generate quantifiable revenue from AI products or services [2]. BP uses AI internally for exploration and operational optimization but generates no external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BP Q1-Q2 2026 Earnings — Q1 Revenue $52.3B (+11.5% YoY), Q1 Profit $3.8B (+453% YoY), Q2 Underlying RC Profit $5.7B vs $2.4B YoY — SEC 6-K Filings, Alpha Sense,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BP CEO Meg O'Neill Leadership Transition — Eliminates Low Carbon Unit, Restructures Organization, First External Hire in 100+ Years, Fourth CEO Since 2020 — Fortune, MarTech, bp.com, April-June 2026</w:t>
      </w:r>
    </w:p>
    <w:p>
      <w:pPr>
        <w:spacing w:before="20" w:after="20"/>
        <w:ind w:left="170"/>
      </w:pPr>
      <w:r>
        <w:rPr>
          <w:rFonts w:ascii="Calibri" w:hAnsi="Calibri"/>
          <w:b/>
          <w:color w:val="4A6B25"/>
          <w:sz w:val="15"/>
        </w:rPr>
        <w:t xml:space="preserve">3. </w:t>
      </w:r>
      <w:r>
        <w:rPr>
          <w:rFonts w:ascii="Calibri" w:hAnsi="Calibri"/>
          <w:b w:val="0"/>
          <w:color w:val="3A4A28"/>
          <w:sz w:val="17"/>
        </w:rPr>
        <w:t>BP Governance Crisis and ESG Backlash — Board Chair Manifold Ousted Over Bullying, AGM Shareholder Revolt, Climate Disclosure Disputes, Legal &amp; General Opposition — Corporate Governance Institute, IR Impact, Energy Intel,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