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BRSL</w:t>
      </w:r>
      <w:r>
        <w:rPr>
          <w:rFonts w:ascii="Calibri" w:hAnsi="Calibri"/>
          <w:b/>
          <w:color w:val="1A2010"/>
          <w:sz w:val="40"/>
        </w:rPr>
        <w:t xml:space="preserve">  Brightstar Lottery PLC</w:t>
      </w:r>
    </w:p>
    <w:p>
      <w:pPr>
        <w:spacing w:after="120"/>
      </w:pPr>
      <w:r>
        <w:rPr>
          <w:rFonts w:ascii="Calibri" w:hAnsi="Calibri"/>
          <w:b/>
          <w:color w:val="6E8450"/>
          <w:sz w:val="18"/>
        </w:rPr>
        <w:t>DIVIDEND SLEEVE · 2026-09-18 · Inspire: 56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55</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Consumer Cyclical · Gambling · NYSE · United Kingdom</w:t>
      </w:r>
    </w:p>
    <w:p>
      <w:pPr>
        <w:spacing w:after="80"/>
      </w:pPr>
      <w:r>
        <w:rPr>
          <w:rFonts w:ascii="Calibri" w:hAnsi="Calibri"/>
          <w:b w:val="0"/>
          <w:color w:val="3A4A28"/>
          <w:sz w:val="20"/>
        </w:rPr>
        <w:t>Brightstar Lottery PLC (formerly International Game Technology PLC) is a pure-play global lottery technology and services company following the July 2024 sale of its Gaming &amp; Digital business to Apollo Global Management. The company designs, operates, and services lottery systems, produces instant ticket games, provides iLottery platforms, and offers AI-driven player engagement and marketing services. Brightstar operates across the U.S., Italy (Lotto Italia concession through 2034), and internationally, generating $2.52B in trailing twelve-month revenue.</w:t>
      </w:r>
    </w:p>
    <w:p>
      <w:r>
        <w:rPr>
          <w:rFonts w:ascii="Calibri" w:hAnsi="Calibri"/>
          <w:b/>
          <w:color w:val="6E8450"/>
          <w:sz w:val="18"/>
        </w:rPr>
        <w:t>5,746 Employees · https://www.brightstarlottery.com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Brightstar executed a transformative corporate restructuring — selling the Gaming &amp; Digital business to Apollo to become a focused lottery pure-play, rebranding from IGT to Brightstar Lottery in July 2025 [2]. However, organic lottery revenue has been essentially flat ($2.51B in 2025, $2.52B TTM), indicating no meaningful growth innovation in the core business. The Lotto Italia concession renewal ($926M upfront) secures revenue through 2034 but is a contract renewal, not innovation. AI Deployment (1/2): Brightstar deploys AI-driven CRM tools, predictive analytics, and Player Marketing Services for lottery customer engagement, plus AI-generated iLottery game designs including 250 captivating games and the new Prize Tap category [4]. An AI-powered route optimization tool reduces travel-related resource consumption [3]. These are deployed products generating incremental value. Market Share (2/2): Global lottery technology leader operating systems in major U.S. state lotteries and Italy's flagship Lotto Italia concession, with dominant market share in a concentrated industry protected by government-granted monopoly licenses and extremely high switching costs [1]. Pipeline (1/2): Sao Paulo lottery launch, Italy B2C digital expansion, and Connected Play platform provide growth catalysts through 2028, with Q1 2026 adjusted EBITDA growing 15% to $287M and 48.9% margin demonstrating improving profitability [1]. R&amp;D Intensity (0/1): R&amp;D spending is not prominently disclosed and appears below average for a technology services company; the business is primarily operations-driven rather than research-intensive.</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Brightstar's stated purpose to 'elevate lotteries and inspire players' with a focus on 'responsible, sustainable solutions' is clear and specific to the lottery industry, leveraging nearly 50 years of heritage since IGT's founding [2]. CEO Vince Sadusky emphasizes reliability and innovation as the brand foundation. The mission is distinctive within the gambling sector but doesn't articulate a transformative vision of a better future. Community Impact (1/2): Brightstar earned MSCI AAA ESG rating in its first year as a standalone company and S&amp;P Corporate Sustainability Assessment inclusion [3]. Lottery operations inherently fund public education and social programs through state lottery proceeds. Top Employer certification in both the U.S. and Italy demonstrates commitment to workforce standards [3]. Employee Retention (1/2): Top Employer certification in U.S. and Italy. The Digital Journey programme equips employees with digital transformation skills [3]. Dorothy Costa leads People &amp; Culture function. CEO Sadusky provides leadership continuity through the IGT-to-Brightstar transition. No specific retention metrics available for the 5,746-employee workforce. Insider Buying (0/2): No evidence of meaningful net insider buying by executives in publicly available sources. The $1.1B capital return to shareholders ($3.02/share special dividend) following the gaming sale demonstrates shareholder-friendly allocation but is not insider buying [1].</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calculated on dividend stock metrics. Significant balance sheet improvement since prior screen: D/E dropped from 482% to 219.2% as debt was reduced, now scoring 0.35 (was 0.00) [5][6]. ROE surged from 9.26% to 15.18%, now meeting the 15% target (scores 1.0) as earnings recovered post-restructuring [5]. Revenue growth YoY of -7.4% (scores 0.42) reflects Q2 2026 revenue of $584M missing the $604.76M estimate — a deterioration from the prior 3.3% growth [7]. Revenue 5yr CAGR of approximately -1.0% scores 0.27 — distorted by the gaming divestiture. Forward P/E of 14.42 scores 1.0 — attractively valued on improving earnings [5]. Profit margin improved to 10.05% (scores 0.50) from 6.2% as concession amortization normalizes and lottery margins expand [7]. Payout ratio of ~97% scores 0.05 — still nearly consuming all earnings. Consecutive years paid: 5 (scores 0.50, 2x weight). Consecutive years growth: 2 (scores 0.20). 5yr dividend growth CAGR of ~9% scores 1.0 (2x weight). Weighted sum 6.79/12 = 6. Liquidity cleared: 1.77M avg vol x $10.41 = $18.4M daily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Brightstar's transformation from a diversified gaming conglomerate into a focused lottery pure-play demonstrates strategic decisiveness, but the company fundamentally operates as a government contractor optimizing concession economics rather than pursuing an enduring cause. The near-term financial profile — $2.75B net debt, 108% payout ratio, and flat organic revenue — reflects a leveraged yield play focused on cash extraction from long-term contracts, not cause-driven leadership building for endurance.</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Brightstar's purpose of 'elevating lotteries and inspiring players' is specific to its industry but does not articulate a vision of a better future that inspires sacrifice [2]. The company exists to operate lottery systems efficiently and profitably under government contracts. While lottery proceeds fund public education and social programs, Brightstar positions itself as a technology/services provider rather than a mission-driven organization championing those public benefits.</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The company navigated a major corporate restructuring — selling the gaming division, rebranding to Brightstar, and reorganizing under Dorothy Costa's People &amp; Culture leadership — while earning Top Employer certification in both the U.S. and Italy [3]. CEO Sadusky provides continuity. However, headcount reduction from the gaming sale, the pending COO transition (Renato Ascoli stepping down June 2026, Marco Tasso taking over), and organizational transformation create uncertainty [4].</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Brightstar positions itself as the dominant global lottery leader with 'nearly 50 years of reliability, innovation, and leadership,' emphasizing market position rather than learning from competitors [2]. The lottery industry's concentrated structure with long-term concessions doesn't naturally foster competitive learning. No management commentary referencing improvements inspired by rivals like Scientific Games was found.</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divestiture of the Gaming &amp; Digital business to Apollo for $4.1B represents a significant strategic pivot — voluntarily shedding half the company to become a focused lottery pure-play [2]. The Lotto Italia B2C digital expansion and Sao Paulo market entry show continued evolution. However, the core lottery technology business has operated essentially unchanged for decades, and the pivot was a financial restructuring rather than a transformative reinvention of capabilities.</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Spending $926M upfront for the nine-year Lotto Italia concession required conviction in long-term payback despite crushing near-term profitability. Returning $1.1B to shareholders via special dividend rather than hoarding cash showed decisiveness [1]. Q1 2026 results validate the strategy: adjusted EBITDA grew 15% to $287M with 48.9% margin, and income from continuing operations surged to $63M from $8M a year ago. However, these are financially rational decisions rather than principled sacrifices.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Brightstar Lottery is a pure-play global lottery technology leader trading at 14.4x forward P/E with an 8.8% dividend yield — a compelling income and value proposition as balance sheet metrics improve rapidly [5]. D/E has been cut from 482% to 219% through continued deleveraging, ROE has risen to 15.2% from 9.3%, and profit margin has expanded to 10.1% from 6.2% as Lotto Italia concession costs normalize [5]. Q2 2026 EPS of $0.11 beat the $0.02 estimate despite revenue of $584M missing by 3.4%, suggesting improving cost discipline [7]. The Lotto Italia concession through 2034 and dominant U.S. state lottery positions provide highly visible, recurring revenue streams with government-granted monopoly protections and extreme switching costs. The Sao Paulo lottery launch and Italy B2C digital expansion provide incremental growth catalysts through 2028. MSCI AAA ESG rating and Inspire score of 56 (ALIGNED) make this accessible for values-oriented investors.</w:t>
      </w:r>
    </w:p>
    <w:p>
      <w:pPr>
        <w:spacing w:after="120"/>
      </w:pPr>
      <w:r>
        <w:rPr>
          <w:rFonts w:ascii="Calibri" w:hAnsi="Calibri"/>
          <w:b w:val="0"/>
          <w:color w:val="3A4A28"/>
          <w:sz w:val="20"/>
        </w:rPr>
        <w:t>The bear case centers on revenue decline and leverage risk. Revenue declined 7.4% YoY, a deterioration from the prior 3.3% growth, with both Q1 ($587M) and Q2 ($584M) missing analyst estimates [7]. Organic lottery revenue remains stagnant as the traditional lottery market matures, and the company has limited pricing power in government-contract relationships. D/E of 219% remains elevated despite the significant improvement from 482%, and the payout ratio of ~97% leaves virtually no margin of safety for the $0.92 annual dividend if earnings soften [5][6]. The 2024 data breach exposing 103,000+ individuals and Texas Lottery contract controversies highlight operational and reputational risk in an industry where regulatory trust is essential [3]. The stock trades at $10.41, below the 50-day SMA of $10.87, and leadership changes in the Global Lottery division (CEO Ascoli stepping down) introduce execution uncertainty during a critical operational transition period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Adjusted EBITDA margin expansion — Q1 2026 margin of 48.9% (up from 42.8%) signals improving profitability as Lotto Italia concession costs amortize and operational efficiencies take hold [1]</w:t>
      </w:r>
    </w:p>
    <w:p>
      <w:pPr>
        <w:spacing w:before="40" w:after="40"/>
        <w:ind w:left="283"/>
      </w:pPr>
      <w:r>
        <w:rPr>
          <w:rFonts w:ascii="Calibri" w:hAnsi="Calibri"/>
          <w:b/>
          <w:color w:val="4A6B25"/>
          <w:sz w:val="20"/>
        </w:rPr>
        <w:t xml:space="preserve">2. </w:t>
      </w:r>
      <w:r>
        <w:rPr>
          <w:rFonts w:ascii="Calibri" w:hAnsi="Calibri"/>
          <w:b w:val="0"/>
          <w:color w:val="3A4A28"/>
          <w:sz w:val="20"/>
        </w:rPr>
        <w:t>Lotto Italia B2C digital expansion and Sao Paulo lottery launch providing organic revenue growth in the world's largest lottery markets [2]</w:t>
      </w:r>
    </w:p>
    <w:p>
      <w:pPr>
        <w:spacing w:before="40" w:after="40"/>
        <w:ind w:left="283"/>
      </w:pPr>
      <w:r>
        <w:rPr>
          <w:rFonts w:ascii="Calibri" w:hAnsi="Calibri"/>
          <w:b/>
          <w:color w:val="4A6B25"/>
          <w:sz w:val="20"/>
        </w:rPr>
        <w:t xml:space="preserve">3. </w:t>
      </w:r>
      <w:r>
        <w:rPr>
          <w:rFonts w:ascii="Calibri" w:hAnsi="Calibri"/>
          <w:b w:val="0"/>
          <w:color w:val="3A4A28"/>
          <w:sz w:val="20"/>
        </w:rPr>
        <w:t>8.8% dividend yield supported by reaffirmed 2026 guidance and $63M Q1 income, with potential for payout ratio normalization as earnings recover toward $1.00+ EPS [1][5]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Extreme leverage — D/E of 482% with $2.75B net debt creates refinancing risk and limits financial flexibility; the 108% payout ratio means the dividend is currently unsustainable from earnings alone [5][6]</w:t>
      </w:r>
    </w:p>
    <w:p>
      <w:pPr>
        <w:spacing w:before="40" w:after="40"/>
        <w:ind w:left="283"/>
      </w:pPr>
      <w:r>
        <w:rPr>
          <w:rFonts w:ascii="Calibri" w:hAnsi="Calibri"/>
          <w:b/>
          <w:color w:val="4A6B25"/>
          <w:sz w:val="20"/>
        </w:rPr>
        <w:t xml:space="preserve">2. </w:t>
      </w:r>
      <w:r>
        <w:rPr>
          <w:rFonts w:ascii="Calibri" w:hAnsi="Calibri"/>
          <w:b w:val="0"/>
          <w:color w:val="3A4A28"/>
          <w:sz w:val="20"/>
        </w:rPr>
        <w:t>Flat organic revenue trajectory — multiple years of essentially flat lottery revenue ($2.50-2.52B) with only mid-single-digit growth guided suggests the core lottery market is mature with limited growth levers [1]</w:t>
      </w:r>
    </w:p>
    <w:p>
      <w:pPr>
        <w:spacing w:before="40" w:after="40"/>
        <w:ind w:left="283"/>
      </w:pPr>
      <w:r>
        <w:rPr>
          <w:rFonts w:ascii="Calibri" w:hAnsi="Calibri"/>
          <w:b/>
          <w:color w:val="4A6B25"/>
          <w:sz w:val="20"/>
        </w:rPr>
        <w:t xml:space="preserve">3. </w:t>
      </w:r>
      <w:r>
        <w:rPr>
          <w:rFonts w:ascii="Calibri" w:hAnsi="Calibri"/>
          <w:b w:val="0"/>
          <w:color w:val="3A4A28"/>
          <w:sz w:val="20"/>
        </w:rPr>
        <w:t>Operational and reputational risk — 2024 data breach affecting 103,000+ individuals and Texas Lottery contract controversies highlight execution risk; lottery concession values are highly sensitive to regulatory and security confidence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Lottery technology and operations are deeply protected by government-granted monopoly licenses, rigorous security certifications, and long-term concession agreements that AI cannot displace [1]. Brightstar's core business — operating lottery transaction processing systems, producing instant tickets, and managing physical retail terminal networks — involves regulated physical-world infrastructure built over decades. Switching costs are extreme: replacing a state's lottery system is a multi-year, high-stakes process requiring regulatory approval. However, digital lottery (iLottery) faces some competitive pressure from AI-enhanced gaming platforms, and AI could theoretically enable new entrants or enhance competitor offerings in jurisdictions opening new lottery licenses. AI Opportunity (1/1): Brightstar actively deploys AI-driven CRM, predictive analytics, AI-generated game designs for its 250-game iLottery library, and an AI-powered route optimization tool for field operations [3][4]. These generate measurable efficiency gains and engagement improvements across the installed lottery customer base.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56</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Brightstar Lottery Q1 2026 Results — $587M revenue, $63M income, $287M adjusted EBITDA (+15%), 48.9% margin, 2026 guidance reaffirmed, May 2026</w:t>
      </w:r>
    </w:p>
    <w:p>
      <w:pPr>
        <w:spacing w:before="20" w:after="20"/>
        <w:ind w:left="170"/>
      </w:pPr>
      <w:r>
        <w:rPr>
          <w:rFonts w:ascii="Calibri" w:hAnsi="Calibri"/>
          <w:b/>
          <w:color w:val="4A6B25"/>
          <w:sz w:val="15"/>
        </w:rPr>
        <w:t xml:space="preserve">2. </w:t>
      </w:r>
      <w:r>
        <w:rPr>
          <w:rFonts w:ascii="Calibri" w:hAnsi="Calibri"/>
          <w:b w:val="0"/>
          <w:color w:val="3A4A28"/>
          <w:sz w:val="17"/>
        </w:rPr>
        <w:t>Brightstar Lottery corporate press releases — CEO Vince Sadusky rebrand announcement, IGT to Brightstar transition, AI-driven solutions, July 2025</w:t>
      </w:r>
    </w:p>
    <w:p>
      <w:pPr>
        <w:spacing w:before="20" w:after="20"/>
        <w:ind w:left="170"/>
      </w:pPr>
      <w:r>
        <w:rPr>
          <w:rFonts w:ascii="Calibri" w:hAnsi="Calibri"/>
          <w:b/>
          <w:color w:val="4A6B25"/>
          <w:sz w:val="15"/>
        </w:rPr>
        <w:t xml:space="preserve">3. </w:t>
      </w:r>
      <w:r>
        <w:rPr>
          <w:rFonts w:ascii="Calibri" w:hAnsi="Calibri"/>
          <w:b w:val="0"/>
          <w:color w:val="3A4A28"/>
          <w:sz w:val="17"/>
        </w:rPr>
        <w:t>Brightstar Lottery ESG Achievements — MSCI AAA rating, S&amp;P CSA score, Top Employer certification US/Italy, data breach disclosure, Lottery Daily May 2026</w:t>
      </w:r>
    </w:p>
    <w:p>
      <w:pPr>
        <w:spacing w:before="20" w:after="20"/>
        <w:ind w:left="170"/>
      </w:pPr>
      <w:r>
        <w:rPr>
          <w:rFonts w:ascii="Calibri" w:hAnsi="Calibri"/>
          <w:b/>
          <w:color w:val="4A6B25"/>
          <w:sz w:val="15"/>
        </w:rPr>
        <w:t xml:space="preserve">4. </w:t>
      </w:r>
      <w:r>
        <w:rPr>
          <w:rFonts w:ascii="Calibri" w:hAnsi="Calibri"/>
          <w:b w:val="0"/>
          <w:color w:val="3A4A28"/>
          <w:sz w:val="17"/>
        </w:rPr>
        <w:t>Brightstar Lottery NASPL 2025 — AI-generated iLottery games, Prize Tap category, 250-game library, Connected Play platform, 2025</w:t>
      </w:r>
    </w:p>
    <w:p>
      <w:pPr>
        <w:spacing w:before="20" w:after="20"/>
        <w:ind w:left="170"/>
      </w:pPr>
      <w:r>
        <w:rPr>
          <w:rFonts w:ascii="Calibri" w:hAnsi="Calibri"/>
          <w:b/>
          <w:color w:val="4A6B25"/>
          <w:sz w:val="15"/>
        </w:rPr>
        <w:t xml:space="preserve">5. </w:t>
      </w:r>
      <w:r>
        <w:rPr>
          <w:rFonts w:ascii="Calibri" w:hAnsi="Calibri"/>
          <w:b w:val="0"/>
          <w:color w:val="3A4A28"/>
          <w:sz w:val="17"/>
        </w:rPr>
        <w:t>Yahoo Finance — BRSL key statistics, $10.41 price, 8.84% yield, 14.42 forward PE, D/E 219.17%, ROE 15.18%, accessed September 2026</w:t>
      </w:r>
    </w:p>
    <w:p>
      <w:pPr>
        <w:spacing w:before="20" w:after="20"/>
        <w:ind w:left="170"/>
      </w:pPr>
      <w:r>
        <w:rPr>
          <w:rFonts w:ascii="Calibri" w:hAnsi="Calibri"/>
          <w:b/>
          <w:color w:val="4A6B25"/>
          <w:sz w:val="15"/>
        </w:rPr>
        <w:t xml:space="preserve">6. </w:t>
      </w:r>
      <w:r>
        <w:rPr>
          <w:rFonts w:ascii="Calibri" w:hAnsi="Calibri"/>
          <w:b w:val="0"/>
          <w:color w:val="3A4A28"/>
          <w:sz w:val="17"/>
        </w:rPr>
        <w:t>GuruFocus / MarketBeat — BRSL dividend history, consecutive years paid, growth metrics, accessed September 2026</w:t>
      </w:r>
    </w:p>
    <w:p>
      <w:pPr>
        <w:spacing w:before="20" w:after="20"/>
        <w:ind w:left="170"/>
      </w:pPr>
      <w:r>
        <w:rPr>
          <w:rFonts w:ascii="Calibri" w:hAnsi="Calibri"/>
          <w:b/>
          <w:color w:val="4A6B25"/>
          <w:sz w:val="15"/>
        </w:rPr>
        <w:t xml:space="preserve">7. </w:t>
      </w:r>
      <w:r>
        <w:rPr>
          <w:rFonts w:ascii="Calibri" w:hAnsi="Calibri"/>
          <w:b w:val="0"/>
          <w:color w:val="3A4A28"/>
          <w:sz w:val="17"/>
        </w:rPr>
        <w:t>Brightstar Lottery Q2 2026 Results — Revenue $584M (missed $604.76M), EPS $0.11 (beat $0.02), August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