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BRTX</w:t>
      </w:r>
      <w:r>
        <w:rPr>
          <w:rFonts w:ascii="Calibri" w:hAnsi="Calibri"/>
          <w:b/>
          <w:color w:val="1A2010"/>
          <w:sz w:val="40"/>
        </w:rPr>
        <w:t xml:space="preserve">  BioRestorative Therapies, Inc.</w:t>
      </w:r>
    </w:p>
    <w:p>
      <w:pPr>
        <w:spacing w:after="120"/>
      </w:pPr>
      <w:r>
        <w:rPr>
          <w:rFonts w:ascii="Calibri" w:hAnsi="Calibri"/>
          <w:b/>
          <w:color w:val="6E8450"/>
          <w:sz w:val="18"/>
        </w:rPr>
        <w:t>GROWTH SLEEVE · 2026-10-09 · Inspire: 35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NCM · United States</w:t>
      </w:r>
    </w:p>
    <w:p>
      <w:pPr>
        <w:spacing w:after="80"/>
      </w:pPr>
      <w:r>
        <w:rPr>
          <w:rFonts w:ascii="Calibri" w:hAnsi="Calibri"/>
          <w:b w:val="0"/>
          <w:color w:val="3A4A28"/>
          <w:sz w:val="20"/>
        </w:rPr>
        <w:t>BioRestorative Therapies is a clinical-stage biotechnology company developing regenerative medicine products using adult (non-embryonic) stem cell protocols. Its lead candidate BRTX-100 targets chronic lumbar disc disease using autologous cultured mesenchymal stem cells, with a fully enrolled Phase 2 trial of 99 patients and FDA endorsement of Phase 3 design. The company also operates a biocosmeceutical platform and develops ThermoStem for metabolic disorders. Interim CEO Mika Grasso was appointed August 2026, replacing Lance Alstodt. Headquartered in Melville, New York, with 13 employees and a market cap of approximately $2.6M following a reverse stock split.</w:t>
      </w:r>
    </w:p>
    <w:p>
      <w:r>
        <w:rPr>
          <w:rFonts w:ascii="Calibri" w:hAnsi="Calibri"/>
          <w:b/>
          <w:color w:val="6E8450"/>
          <w:sz w:val="18"/>
        </w:rPr>
        <w:t>13 Employees · https://www.biorestorative.com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BioRestorative achieved notable clinical milestones — completed enrollment of 99 patients across 15 U.S. sites in its Phase 2 BRTX-100 trial (the largest FDA-authorized cell therapy trial in chronic lumbar disc disease), completed Phase 2 manufacturing, and obtained FDA endorsement of Phase 3 design via a positive Type B meeting with no safety concerns raised [1][3]. However, the company was founded over a decade ago with no commercial therapeutic products and negligible revenue ($23K in Q1 2026). AI Deployment (0/2): No AI deployment in drug development, clinical trials, or operations — unsurprising for a 13-person company focused on stem cell biologics [2]. Market Share (0/2): No commercial products, no market share. TTM revenue of $358K comes from minimal biocosmeceutical sales and royalties, not core therapeutic programs [1]. Product Pipeline (1/2): BRTX-100 Phase 2 fully enrolled with FDA-confirmed Phase 3 design, blinded data showing 50%+ of patients achieving &gt;50% improvement in pain and function scales, and FDA clearance of IND for cervical disc Phase II trial expanding the addressable market [3]. R&amp;D Intensity (0/1): R&amp;D spending represents the majority of operating expenses, genuinely R&amp;D-driven, but absolute spending is negligible relative to any meaningful biotech peer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BioRestorative's focus on regenerative stem cell therapies for chronic pain and metabolic disorders represents a clear, socially meaningful purpose — chronic lower back pain affects tens of millions globally with limited effective treatments [2][3]. The purpose is genuine but not yet validated by execution or multi-decade consistency. Community Impact (0/2): No evidence of community programs or charitable initiatives beyond the therapeutic mission itself for a 13-person nano-cap company. Employee Retention (0/2): Leadership instability with Interim CEO Mika Grasso (a board member and lender designee) replacing Lance Alstodt in August 2026, coinciding with a transition to a consultant-based executive model and auditor change [2]. This is the company's second leadership change and raises governance questions. Insider Buying (0/2): No meaningful insider buying identified. The reverse split and declining market cap suggest capital destruction rather than insider conviction.</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26,050 shares × $1.89 = $49,235 daily dollar volume, far below the $1M IOWN liquidity floor [1]. Infrastructure is automatically scored 0. The company appears to have completed a reverse stock split (shares outstanding down from ~25.5M to ~1.38M) to address Nasdaq minimum bid price non-compliance, resulting in a higher per-share price but lower total market cap ($2.6M vs ~$5.8M previously). Underlying financials remain dire: Q1 2026 revenue of $23,170 with quarterly operating losses of $3.8M+, ROE of -241%, negative free cash flow of $9.7M, and $3.6M cash providing approximately 1-2 quarters of runway [1]. Management-disclosed going concern doubt persists. The transition to a consultant-based executive model and auditor change in August 2026 add governance uncertainty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BioRestorative operates in pure survival mode with a $2.6M market cap (down from $5.8M in August 2026), 13 employees, $23K quarterly revenue, and a management-acknowledged going concern risk. The August 2026 CEO replacement (Lance Alstodt to interim Mika Grasso, a lender designee), transition to a consultant-based executive model, and auditor change suggest organizational retrenchment. While the regenerative medicine mission is meaningful and the FDA-endorsed Phase 3 pathway represents genuine scientific progress, Sinek's infinite game cannot be played without the financial resources to stay in it.</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Developing regenerative stem cell therapies for chronic pain — affecting tens of millions of patients globally with limited effective treatments — represents a genuinely meaningful cause [3]. The Phase 2 enrollment completion and positive FDA Type B meeting demonstrate commitment. However, the purpose remains shallow in Sinek's framework — over a decade of existence with no commercial products, going concern warnings, reverse splits, and leadership instability suggest the cause serves as a fundraising narrative more than a strategic compass.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With 13 employees, a $2.6M market cap, CEO replacement, auditor change, consultant-based executive transition, and going concern doubt, organizational stability is severely compromised [1][2]. The lender designee serving as interim CEO raises alignment questions between creditor interests and employee/shareholder interests. Trust at this scale is a function of survival, not culture.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BioRestorative competes against well-funded regenerative medicine companies — Mesoblast and DiscGenics in disc disease, and numerous cell therapy companies with hundreds of millions in funding. No evidence of management acknowledging competitors' strengths or using competitive dynamics for self-improvement. The competitive dynamic at this scale is existential survival, not learning-oriented rivalry.</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BioRestorative is too small and resource-constrained to demonstrate existential flexibility [1]. The biocosmeceutical platform and ThermoStem program provide pipeline optionality beyond BRTX-100, and the FDA-cleared cervical disc IND expands the addressable market. However, these are parallel programs rather than strategic pivots, and the company lacks the resources to pursue any of them at meaningful scale.</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The August 2026 leadership change — replacing CEO Alstodt with interim CEO Mika Grasso (a lender designee board member) alongside a transition to a consultant-based executive model — represents cost-cutting survival rather than courageous long-term investment [2]. No evidence of leadership making costly bets or principled stances. Capital allocation decisions are dictated entirely by survival constraints with $3.6M cash against $3.8M+ quarterly burn.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BioRestorative's BRTX-100 program sits at a clinical inflection point: the 99-patient Phase 2 trial is fully enrolled across 15 U.S. sites, blinded data shows 50%+ of patients achieving &gt;50% improvement in key pain and function scales, the FDA endorsed the Phase 3 design with no safety concerns, and a Phase 3 IND amendment is planned [1][3]. The FDA also cleared a new IND for cervical disc disease, expanding the addressable market. At $2.6M market cap, the stock prices in near-total failure — any positive unblinded Phase 2 readout or partnership announcement could generate outsized returns. The Inspire Impact Score of 35 (ALIGNED) reflects the socially beneficial nature of regenerative stem cell medicine. Zero meaningful debt (D/E 0.95%) preserves equity value for existing holders through the clinical development process.</w:t>
      </w:r>
    </w:p>
    <w:p>
      <w:pPr>
        <w:spacing w:after="120"/>
      </w:pPr>
      <w:r>
        <w:rPr>
          <w:rFonts w:ascii="Calibri" w:hAnsi="Calibri"/>
          <w:b w:val="0"/>
          <w:color w:val="3A4A28"/>
          <w:sz w:val="20"/>
        </w:rPr>
        <w:t>The bear case is existential across multiple dimensions. BioRestorative has 13 employees, $23K quarterly revenue, a $2.6M market cap (down 55% from $5.8M in August 2026), ROE of -241%, and management-acknowledged going concern risk [1]. Cash of $3.6M against annual free cash burn of $9.7M implies approximately 1-2 quarters of runway — additional dilutive capital raises are certain. The August 2026 CEO replacement with a lender designee interim CEO and transition to a consultant-based executive model suggests the company is retrenching toward a minimal viable organization [2]. Average daily dollar volume of just $49K makes the stock functionally untradeable at any institutional scale. A reverse stock split addressed Nasdaq minimum bid price non-compliance but destroyed total market cap. Clinical development has been glacially slow for a company founded over a decade ago with zero commercial therapeutic products. Any Phase 2 failure on unblinding would likely be terminal for equity investors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BRTX-100 Phase 2 unblinded topline results from the 99-patient trial, with blinded data already showing &gt;50% of patients achieving &gt;50% improvement in pain and function scales — positive readout could drive transformative revaluation from the $2.6M market cap [3]</w:t>
      </w:r>
    </w:p>
    <w:p>
      <w:pPr>
        <w:spacing w:before="40" w:after="40"/>
        <w:ind w:left="283"/>
      </w:pPr>
      <w:r>
        <w:rPr>
          <w:rFonts w:ascii="Calibri" w:hAnsi="Calibri"/>
          <w:b/>
          <w:color w:val="4A6B25"/>
          <w:sz w:val="20"/>
        </w:rPr>
        <w:t xml:space="preserve">2. </w:t>
      </w:r>
      <w:r>
        <w:rPr>
          <w:rFonts w:ascii="Calibri" w:hAnsi="Calibri"/>
          <w:b w:val="0"/>
          <w:color w:val="3A4A28"/>
          <w:sz w:val="20"/>
        </w:rPr>
        <w:t>FDA-cleared cervical disc disease IND expands BRTX-100's addressable market beyond lumbar disease, potentially doubling the clinical opportunity and partnership attractiveness [3]</w:t>
      </w:r>
    </w:p>
    <w:p>
      <w:pPr>
        <w:spacing w:before="40" w:after="40"/>
        <w:ind w:left="283"/>
      </w:pPr>
      <w:r>
        <w:rPr>
          <w:rFonts w:ascii="Calibri" w:hAnsi="Calibri"/>
          <w:b/>
          <w:color w:val="4A6B25"/>
          <w:sz w:val="20"/>
        </w:rPr>
        <w:t xml:space="preserve">3. </w:t>
      </w:r>
      <w:r>
        <w:rPr>
          <w:rFonts w:ascii="Calibri" w:hAnsi="Calibri"/>
          <w:b w:val="0"/>
          <w:color w:val="3A4A28"/>
          <w:sz w:val="20"/>
        </w:rPr>
        <w:t>Phase 3 IND amendment submission leveraging FDA-endorsed trial design, endpoints, sample size, and CMC framework could attract partnership interest from larger regenerative medicine or orthopedic companies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Cash runway of approximately 1-2 quarters with $3.6M cash against $9.7M annual free cash burn necessitates imminent dilutive capital raises, further destroying equity value for existing shareholders from an already $2.6M market cap [1]</w:t>
      </w:r>
    </w:p>
    <w:p>
      <w:pPr>
        <w:spacing w:before="40" w:after="40"/>
        <w:ind w:left="283"/>
      </w:pPr>
      <w:r>
        <w:rPr>
          <w:rFonts w:ascii="Calibri" w:hAnsi="Calibri"/>
          <w:b/>
          <w:color w:val="4A6B25"/>
          <w:sz w:val="20"/>
        </w:rPr>
        <w:t xml:space="preserve">2. </w:t>
      </w:r>
      <w:r>
        <w:rPr>
          <w:rFonts w:ascii="Calibri" w:hAnsi="Calibri"/>
          <w:b w:val="0"/>
          <w:color w:val="3A4A28"/>
          <w:sz w:val="20"/>
        </w:rPr>
        <w:t>CEO replacement with a lender designee interim CEO and transition to consultant-based executive model raises governance and alignment concerns — creditor-appointed leadership may prioritize debt protection over shareholder value creation [2]</w:t>
      </w:r>
    </w:p>
    <w:p>
      <w:pPr>
        <w:spacing w:before="40" w:after="40"/>
        <w:ind w:left="283"/>
      </w:pPr>
      <w:r>
        <w:rPr>
          <w:rFonts w:ascii="Calibri" w:hAnsi="Calibri"/>
          <w:b/>
          <w:color w:val="4A6B25"/>
          <w:sz w:val="20"/>
        </w:rPr>
        <w:t xml:space="preserve">3. </w:t>
      </w:r>
      <w:r>
        <w:rPr>
          <w:rFonts w:ascii="Calibri" w:hAnsi="Calibri"/>
          <w:b w:val="0"/>
          <w:color w:val="3A4A28"/>
          <w:sz w:val="20"/>
        </w:rPr>
        <w:t>Phase 2 clinical failure of BRTX-100 on unblinding would be terminal for equity investors given $23K quarterly revenue, 13 employees, and no alternative revenue-generating programs of scale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BioRestorative's core business — autologous stem cell therapy using patient-derived mesenchymal stem cells collected from bone marrow, cultured under cGMP conditions, and reinjected — is inherently physical and biological, requiring laboratory cell culture, surgical collection, and clinical administration that AI cannot substitute [2][3]. The FDA BLA regulatory pathway for cell-based biologics provides additional protection through high barriers that AI tools cannot circumvent. AI-discovered small molecule drugs do not compete with cell-based regenerative therapies, which represent a fundamentally different treatment modality. The biocosmeceutical platform similarly relies on physical biological products. AI Opportunity (0/1): No AI deployment in drug discovery, clinical trial optimization, or revenue-generating AI applications — the 13-person team lacks the resources for AI initiatives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BioRestorative Therapies Q1 2026 10-Q — Revenue $23.2K (-7.3% YoY), Net Loss $2.15M, Cash $3.6M, Going Concern Warning — SEC Filings, OpenCapital, 2026</w:t>
      </w:r>
    </w:p>
    <w:p>
      <w:pPr>
        <w:spacing w:before="20" w:after="20"/>
        <w:ind w:left="170"/>
      </w:pPr>
      <w:r>
        <w:rPr>
          <w:rFonts w:ascii="Calibri" w:hAnsi="Calibri"/>
          <w:b/>
          <w:color w:val="4A6B25"/>
          <w:sz w:val="15"/>
        </w:rPr>
        <w:t xml:space="preserve">2. </w:t>
      </w:r>
      <w:r>
        <w:rPr>
          <w:rFonts w:ascii="Calibri" w:hAnsi="Calibri"/>
          <w:b w:val="0"/>
          <w:color w:val="3A4A28"/>
          <w:sz w:val="17"/>
        </w:rPr>
        <w:t>BioRestorative Leadership Changes — Interim CEO Mika Grasso (August 2026), Crystal Romano Head of Global Commercial Ops, Consultant-Based Executive Model Transition — Panabee, TipRanks, Barchart, 2025-2026</w:t>
      </w:r>
    </w:p>
    <w:p>
      <w:pPr>
        <w:spacing w:before="20" w:after="20"/>
        <w:ind w:left="170"/>
      </w:pPr>
      <w:r>
        <w:rPr>
          <w:rFonts w:ascii="Calibri" w:hAnsi="Calibri"/>
          <w:b/>
          <w:color w:val="4A6B25"/>
          <w:sz w:val="15"/>
        </w:rPr>
        <w:t xml:space="preserve">3. </w:t>
      </w:r>
      <w:r>
        <w:rPr>
          <w:rFonts w:ascii="Calibri" w:hAnsi="Calibri"/>
          <w:b w:val="0"/>
          <w:color w:val="3A4A28"/>
          <w:sz w:val="17"/>
        </w:rPr>
        <w:t>BioRestorative BRTX-100 Clinical Progress — Phase 2 Fully Enrolled (99 Patients), FDA Phase 3 Design Endorsement, Blinded Data &gt;50% Improvement, Cervical IND Cleared — BioSpace, Moomoo, Company Press Releases,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