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BRX</w:t>
      </w:r>
      <w:r>
        <w:rPr>
          <w:rFonts w:ascii="Calibri" w:hAnsi="Calibri"/>
          <w:b/>
          <w:color w:val="1A2010"/>
          <w:sz w:val="40"/>
        </w:rPr>
        <w:t xml:space="preserve">  Brixmor Property Group, Inc.</w:t>
      </w:r>
    </w:p>
    <w:p>
      <w:pPr>
        <w:spacing w:after="120"/>
      </w:pPr>
      <w:r>
        <w:rPr>
          <w:rFonts w:ascii="Calibri" w:hAnsi="Calibri"/>
          <w:b/>
          <w:color w:val="6E8450"/>
          <w:sz w:val="18"/>
        </w:rPr>
        <w:t>DIVIDEND SLEEVE · 2026-09-04 · Inspire: 65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Retail · NYSE · United States</w:t>
      </w:r>
    </w:p>
    <w:p>
      <w:pPr>
        <w:spacing w:after="80"/>
      </w:pPr>
      <w:r>
        <w:rPr>
          <w:rFonts w:ascii="Calibri" w:hAnsi="Calibri"/>
          <w:b w:val="0"/>
          <w:color w:val="3A4A28"/>
          <w:sz w:val="20"/>
        </w:rPr>
        <w:t>Brixmor Property Group is a real estate investment trust (REIT) that owns and operates one of the largest portfolios of open-air, grocery-anchored shopping centers in the United States, with approximately 350 properties across 30 states. The company focuses on densely populated, high-barrier-to-entry markets and emphasizes active portfolio management, property redevelopment, and tenant mix optimization. CEO Brian Finnegan (promoted January 2026 after 20 years with the company) succeeded James Taylor. In Q2 2026, BRX reported 5.8% same-property NOI growth, record small shop occupancy of 92.6%, and raised full-year FFO guidance to $2.34-$2.37 per share with same-property NOI growth of 5.0%-5.75%.</w:t>
      </w:r>
    </w:p>
    <w:p>
      <w:r>
        <w:rPr>
          <w:rFonts w:ascii="Calibri" w:hAnsi="Calibri"/>
          <w:b/>
          <w:color w:val="6E8450"/>
          <w:sz w:val="18"/>
        </w:rPr>
        <w:t>464 Employees · https://www.brixmor.com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Brixmor has capitalized on the retail disruption cycle by repositioning its portfolio toward grocery-anchored, open-air centers that are resilient to e-commerce, acquiring four shopping centers for $164.3M in Q2 2026 [1]. This represents thoughtful portfolio management rather than a transformative business model innovation. The company has successfully adapted its tenant mix away from struggling retailers toward essential services, healthcare, and experiential tenants. AI Deployment (1/2): Early AI initiatives have produced 'positive results' in lease abstraction and summarization, tenant health analyses, and leasing prospecting tools, as noted by CEO Brian Finnegan [2]. These are operational efficiency deployments without quantified financial impact, but they demonstrate proactive AI adoption for a REIT. Market Share (1/2): Brixmor operates one of the largest open-air retail REIT portfolios in the US with approximately 400 properties, making it a meaningful player though not the category leader (trailing Regency Centers and Kimco Realty in market cap) [1]. Product Pipeline (1/2): Active acquisition and redevelopment pipeline with $164.3M in Q2 2026 acquisitions and ongoing property improvement projects. Same-property NOI growth guidance of 4.5%-5.5% for 2026 provides visibility [1]. R&amp;D Intensity (0/1): REITs do not conduct traditional R&amp;D; Brixmor's innovation is expressed through property development and tenant curation rather than technology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Brixmor's purpose of being 'the center of the communities we serve' is specific and thoughtful for a REIT, connecting the company's real estate operations to a community-service purpose [3]. It differentiates from peers who focus purely on financial returns and reflects genuine intentionality about the role of shopping centers in community life. However, it has not been tested through decades of consistent execution across multiple leadership transitions. Community Impact (1/2): Brixmor issued its 2024 Corporate Responsibility Report highlighting 38% greenhouse gas emission reduction from the 2018 baseline, 6.7 MW of on-site renewable energy, and 90% LED lighting conversion across its portfolio [3]. Executive bonuses are tied to individual ESG goals. These represent meaningful but standard REIT sustainability initiatives. Employee Retention (1/2): CEO Brian Finnegan was promoted from within after 20 years with the company, starting as a leasing broker, demonstrating strong internal career development [2]. The company achieved an average gender pay gap of zero for the third consecutive year. The smooth CEO transition from James Taylor (who also had a long tenure) suggests cultural stability and trust. However, the workforce declined 11.5% in 2024 (from 513 to 454 employees). Insider Buying (0/2): No evidence of notable net insider buying by executives in the last 12 months was found in the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stock metrics. Brixmor delivered Q1 2026 revenue of $354.8M (up 5.13% YoY), beating consensus of $349.4M, with EPS of $0.42 crushing estimates of $0.25 by 67.8% [1]. Full-year 2026 guidance of Nareit FFO $2.33-$2.37 per diluted share and same-property NOI growth of 4.5%-5.5% reflects steady operational execution. D/E of 183% is elevated but typical for a REIT sector that finances through leverage. ROE of 14.83% is near the 15% target. Profit margin of 31.99% exceeds the 20% target, reflecting the high-margin nature of real estate rental income. Revenue growth 5yr CAGR of 5.6% (2020-2025) reflects steady post-COVID recovery [5]. The forward P/E of 30.2 is high but distorted by GAAP earnings for REITs (FFO-based multiples are more appropriate). Payout ratio of 84.63% is typical for a REIT required to distribute 90%+ of taxable income. Consecutive dividend payments of approximately 6 years (post-COVID resumption) and 5yr dividend growth CAGR of 5.95% demonstrate improving shareholder returns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Brixmor demonstrates several positive infinite game characteristics: a smooth internal CEO succession reflecting organizational trust, a community-oriented purpose, and demonstrated flexibility in adapting to retail disruption. However, the company's relatively short history as a public company (IPO 2013), lack of transformative strategic pivots, and standard REIT competitive positioning limit the infinite game score. The organization is built to endure as a real estate platform rather than playing to win any specific quarter.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Brixmor's purpose of being 'the center of the communities we serve' is genuine and connects the company's work to something bigger than financial returns [3]. It shapes operational decisions around community-relevant tenants and property improvements. However, it is a relatively new articulation that has not been tested through decades of execution or survived a crisis that tested leadership's commitment to community service over financial optimization. It exists but has not yet proven to be the competitive advantage.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The internal promotion of Brian Finnegan to CEO after 20 years with the company, starting as a leasing broker, exemplifies an organization that develops and trusts its people [2]. The retiring CEO James Taylor also had a long tenure, suggesting leadership continuity and stability. The company achieved a gender pay gap of zero for three consecutive years and ties executive bonuses to individual ESG goals [3]. The 'company of operators' culture where senior executives come up through the leasing side demonstrates that employees are empowered to grow and lead from within.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Brixmor explicitly acknowledges competitors' strengths or uses them as motivation for self-improvement. The company's competitive language in earnings calls focuses on its own operational execution and portfolio quality rather than learning from Regency Centers, Kimco Realty, or other open-air REIT peers [1]. Executives attributed their strong outlook to 'limited future disruption identified in budgeting' rather than competitive awareness.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Brixmor has adapted to retail disruption by repositioning its portfolio toward grocery-anchored, open-air centers and diversifying its tenant mix away from struggling traditional retailers toward essential services, healthcare, and experiential tenants [2]. This represents meaningful but incremental strategic evolution rather than a transformative pivot. The company has not fundamentally reinvented its business model — it still owns and operates shopping centers — but it has evolved what those centers look like and who occupies them.</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Brixmor made the difficult decision to briefly suspend its dividend during COVID-19 in 2020, then resumed and has grown it for 5 consecutive years, demonstrating willingness to make short-term sacrifices for long-term financial stability [1]. The $164.3M Q2 2026 acquisition program and continued property redevelopment investment during uncertain economic conditions represent ongoing investment in future capability. However, these are standard REIT operational decisions rather than courageous bets against market consensus.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Brixmor Property Group delivered a strong Q1 2026 with revenue of $354.8M (up 5.13% YoY), EPS of $0.42 beating estimates by 67.8%, and guided for Nareit FFO of $2.33-$2.37/share with same-property NOI growth of 4.5%-5.5% for 2026 [1]. The company's focus on grocery-anchored, open-air shopping centers positions it well in the most resilient segment of retail real estate, with approximately 400 properties in densely populated markets. At $31.35 per share with a 3.92% dividend yield, 5-year dividend growth CAGR of 5.95%, and 5 consecutive years of dividend increases, BRX offers attractive and growing income for dividend investors. The smooth CEO transition to Brian Finnegan (20-year company veteran) provides leadership continuity, and the Inspire Insight ALIGNED score of 65 with zero negative attributions makes it suitable for faith-aligned portfolios [3][5].</w:t>
      </w:r>
    </w:p>
    <w:p>
      <w:pPr>
        <w:spacing w:after="120"/>
      </w:pPr>
      <w:r>
        <w:rPr>
          <w:rFonts w:ascii="Calibri" w:hAnsi="Calibri"/>
          <w:b w:val="0"/>
          <w:color w:val="3A4A28"/>
          <w:sz w:val="20"/>
        </w:rPr>
        <w:t>However, Brixmor faces structural headwinds typical of retail REITs. D/E of 183% with $5.15B in debt against only $105M cash creates significant interest rate sensitivity in a higher-for-longer rate environment. The forward P/E of 30.2 appears expensive (though GAAP P/E is misleading for REITs — FFO-based valuation is more appropriate). Payout ratio of 84.63% leaves limited room for dividend growth acceleration without proportional FFO growth. Revenue growth has been modest at 5.6% CAGR over 5 years, and the REIT structure limits reinvestment flexibility since 90%+ of taxable income must be distributed. ROE of 14.83% is slightly below the 15% target [5]. The secular shift toward e-commerce, while less impactful for grocery-anchored centers, continues to pressure tenant credit quality and lease renewal rates in the broader retail ecosystem.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Same-property NOI growth of 4.5%-5.5% in 2026 driven by higher base rents, positive leasing spreads, and continued tenant mix optimization toward essential services and experiential retail concepts</w:t>
      </w:r>
    </w:p>
    <w:p>
      <w:pPr>
        <w:spacing w:before="40" w:after="40"/>
        <w:ind w:left="283"/>
      </w:pPr>
      <w:r>
        <w:rPr>
          <w:rFonts w:ascii="Calibri" w:hAnsi="Calibri"/>
          <w:b/>
          <w:color w:val="4A6B25"/>
          <w:sz w:val="20"/>
        </w:rPr>
        <w:t xml:space="preserve">2. </w:t>
      </w:r>
      <w:r>
        <w:rPr>
          <w:rFonts w:ascii="Calibri" w:hAnsi="Calibri"/>
          <w:b w:val="0"/>
          <w:color w:val="3A4A28"/>
          <w:sz w:val="20"/>
        </w:rPr>
        <w:t>Active acquisition and redevelopment pipeline including $164.3M in Q2 2026 acquisitions expanding the grocery-anchored portfolio in high-barrier markets, adding to FFO growth</w:t>
      </w:r>
    </w:p>
    <w:p>
      <w:pPr>
        <w:spacing w:before="40" w:after="40"/>
        <w:ind w:left="283"/>
      </w:pPr>
      <w:r>
        <w:rPr>
          <w:rFonts w:ascii="Calibri" w:hAnsi="Calibri"/>
          <w:b/>
          <w:color w:val="4A6B25"/>
          <w:sz w:val="20"/>
        </w:rPr>
        <w:t xml:space="preserve">3. </w:t>
      </w:r>
      <w:r>
        <w:rPr>
          <w:rFonts w:ascii="Calibri" w:hAnsi="Calibri"/>
          <w:b w:val="0"/>
          <w:color w:val="3A4A28"/>
          <w:sz w:val="20"/>
        </w:rPr>
        <w:t>AI-powered operational efficiency improvements in lease management, tenant health monitoring, and leasing prospecting reducing operating costs and improving tenant retention across the 400-property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183% with $5.15B in total debt creates significant interest rate refinancing risk, particularly if the higher-for-longer rate environment persists and debt maturities require repricing at elevated rates</w:t>
      </w:r>
    </w:p>
    <w:p>
      <w:pPr>
        <w:spacing w:before="40" w:after="40"/>
        <w:ind w:left="283"/>
      </w:pPr>
      <w:r>
        <w:rPr>
          <w:rFonts w:ascii="Calibri" w:hAnsi="Calibri"/>
          <w:b/>
          <w:color w:val="4A6B25"/>
          <w:sz w:val="20"/>
        </w:rPr>
        <w:t xml:space="preserve">2. </w:t>
      </w:r>
      <w:r>
        <w:rPr>
          <w:rFonts w:ascii="Calibri" w:hAnsi="Calibri"/>
          <w:b w:val="0"/>
          <w:color w:val="3A4A28"/>
          <w:sz w:val="20"/>
        </w:rPr>
        <w:t>Payout ratio of 84.63% leaves minimal margin of safety for dividend coverage if same-property NOI growth decelerates or occupancy rates decline in a consumer spending slowdown</w:t>
      </w:r>
    </w:p>
    <w:p>
      <w:pPr>
        <w:spacing w:before="40" w:after="40"/>
        <w:ind w:left="283"/>
      </w:pPr>
      <w:r>
        <w:rPr>
          <w:rFonts w:ascii="Calibri" w:hAnsi="Calibri"/>
          <w:b/>
          <w:color w:val="4A6B25"/>
          <w:sz w:val="20"/>
        </w:rPr>
        <w:t xml:space="preserve">3. </w:t>
      </w:r>
      <w:r>
        <w:rPr>
          <w:rFonts w:ascii="Calibri" w:hAnsi="Calibri"/>
          <w:b w:val="0"/>
          <w:color w:val="3A4A28"/>
          <w:sz w:val="20"/>
        </w:rPr>
        <w:t>Forward P/E of 30.2x (on GAAP earnings basis) and PEG of 5.83 suggest the stock is priced for perfect execution on its growth plan, leaving limited margin of safety for investors entering at current levels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Brixmor's core business of owning and operating physical retail real estate is structurally immune to AI disruption. Shopping centers are physical infrastructure assets — AI cannot replace the need for physical space where grocery stores, restaurants, healthcare clinics, and service businesses operate [2]. The company's focus on grocery-anchored centers provides additional resilience since grocery shopping remains predominantly in-person even as e-commerce grows. Real estate transactions, property management, tenant relationships, and lease negotiations all require human judgment and physical-world operations that AI cannot substitute. If anything, AI increases demand for the types of experiential and service-oriented tenants that anchor Brixmor's properties. AI Opportunity (0/1): While Brixmor has deployed AI tools for lease abstraction, tenant health analysis, and leasing prospecting, these are operational efficiency tools that do not generate AI-specific revenue [2]. The company does not sell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Brixmor Property Group Q1 2026 Earnings Release (Form 8-K) and Q2 2026 Investment Activity — SEC Filings, April-June 2026</w:t>
      </w:r>
    </w:p>
    <w:p>
      <w:pPr>
        <w:spacing w:before="20" w:after="20"/>
        <w:ind w:left="170"/>
      </w:pPr>
      <w:r>
        <w:rPr>
          <w:rFonts w:ascii="Calibri" w:hAnsi="Calibri"/>
          <w:b/>
          <w:color w:val="4A6B25"/>
          <w:sz w:val="15"/>
        </w:rPr>
        <w:t xml:space="preserve">2. </w:t>
      </w:r>
      <w:r>
        <w:rPr>
          <w:rFonts w:ascii="Calibri" w:hAnsi="Calibri"/>
          <w:b w:val="0"/>
          <w:color w:val="3A4A28"/>
          <w:sz w:val="17"/>
        </w:rPr>
        <w:t>Commercial Observer — Brixmor Property CEO Brian Finnegan on Turning Around the Retail Giant, May 2026</w:t>
      </w:r>
    </w:p>
    <w:p>
      <w:pPr>
        <w:spacing w:before="20" w:after="20"/>
        <w:ind w:left="170"/>
      </w:pPr>
      <w:r>
        <w:rPr>
          <w:rFonts w:ascii="Calibri" w:hAnsi="Calibri"/>
          <w:b/>
          <w:color w:val="4A6B25"/>
          <w:sz w:val="15"/>
        </w:rPr>
        <w:t xml:space="preserve">3. </w:t>
      </w:r>
      <w:r>
        <w:rPr>
          <w:rFonts w:ascii="Calibri" w:hAnsi="Calibri"/>
          <w:b w:val="0"/>
          <w:color w:val="3A4A28"/>
          <w:sz w:val="17"/>
        </w:rPr>
        <w:t>Brixmor Property Group 2024 Corporate Responsibility Report and ESG Initiatives — brixmor.com, accessed July 2026</w:t>
      </w:r>
    </w:p>
    <w:p>
      <w:pPr>
        <w:spacing w:before="20" w:after="20"/>
        <w:ind w:left="170"/>
      </w:pPr>
      <w:r>
        <w:rPr>
          <w:rFonts w:ascii="Calibri" w:hAnsi="Calibri"/>
          <w:b/>
          <w:color w:val="4A6B25"/>
          <w:sz w:val="15"/>
        </w:rPr>
        <w:t xml:space="preserve">4. </w:t>
      </w:r>
      <w:r>
        <w:rPr>
          <w:rFonts w:ascii="Calibri" w:hAnsi="Calibri"/>
          <w:b w:val="0"/>
          <w:color w:val="3A4A28"/>
          <w:sz w:val="17"/>
        </w:rPr>
        <w:t>Brixmor Property Group Q4 2025 Earnings Call Highlights — Yahoo Finance, February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BRX Key Statistics and Financial Data, accessed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