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BRZE</w:t>
      </w:r>
      <w:r>
        <w:rPr>
          <w:rFonts w:ascii="Calibri" w:hAnsi="Calibri"/>
          <w:b/>
          <w:color w:val="1A2010"/>
          <w:sz w:val="40"/>
        </w:rPr>
        <w:t xml:space="preserve">  Braze, Inc.</w:t>
      </w:r>
    </w:p>
    <w:p>
      <w:pPr>
        <w:spacing w:after="120"/>
      </w:pPr>
      <w:r>
        <w:rPr>
          <w:rFonts w:ascii="Calibri" w:hAnsi="Calibri"/>
          <w:b/>
          <w:color w:val="6E8450"/>
          <w:sz w:val="18"/>
        </w:rPr>
        <w:t>GROWTH SLEEVE · 2026-09-05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NasdaqGS · United States</w:t>
      </w:r>
    </w:p>
    <w:p>
      <w:pPr>
        <w:spacing w:after="80"/>
      </w:pPr>
      <w:r>
        <w:rPr>
          <w:rFonts w:ascii="Calibri" w:hAnsi="Calibri"/>
          <w:b w:val="0"/>
          <w:color w:val="3A4A28"/>
          <w:sz w:val="20"/>
        </w:rPr>
        <w:t>Braze, Inc. operates a cloud-based customer engagement platform that enables brands to deliver personalized, real-time marketing messages across email, mobile push, SMS, in-app, and web channels. The platform leverages first-party data, AI-powered automation, and cross-channel orchestration to help companies build stronger customer relationships at scale, reaching 8 billion monthly active users across 2,713 customers. Co-founded by CEO Bill Magnuson in 2011, headquartered in New York City. FY2026 (ended January 2026) revenue was $738.2M (+24.4% YoY), reaching $800M ARR. Q1 FY2027 revenue accelerated to $211.0M (+30.2% YoY), and FY2027 guidance was raised to $895-899M.</w:t>
      </w:r>
    </w:p>
    <w:p>
      <w:r>
        <w:rPr>
          <w:rFonts w:ascii="Calibri" w:hAnsi="Calibri"/>
          <w:b/>
          <w:color w:val="6E8450"/>
          <w:sz w:val="18"/>
        </w:rPr>
        <w:t>2,000 Employees · https://www.braze.com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Braze grew from a mobile messaging startup (Appboy) to an $800M ARR customer engagement platform, delivering four consecutive quarters of accelerating organic revenue growth through FY2026 — Q4 FY2026 revenue of $205M (+28% YoY) and Q1 FY2027 accelerated further to $211M (+30.2% YoY) [1][2]. Customer base expanded to 2,713 (up 16% from 2,342) with 333 customers at $500K+ ARR (up 29%), demonstrating enterprise penetration. AI Deployment (2/2): Braze has shipped a comprehensive AI product suite — BrazeAI Operator serves as an in-dashboard AI assistant for campaign creation and optimization, BrazeAI Agent Console enables deployment of AI agents for content generation and user segmentation, and Creative Studio integrates with Figma and Canva for AI-powered asset creation [3]. These are production-grade AI features that drove a 50%+ YoY increase in quarterly bookings. Market Share (1/2): Braze has established a strong position in next-generation customer engagement, actively displacing legacy vendors Salesforce Marketing Cloud and Adobe Campaign with 16% customer growth and 110% net retention, but the overall martech market remains dominated by larger incumbents [1][2]. Product Pipeline (2/2): FY2027 guidance raised to $895-899M (~21% growth), $1B+ remaining performance obligations, and 110% net retention (improving from 108%) provide strong forward visibility with specific revenue targets [1][2]. R&amp;D Intensity (1/1): Significant R&amp;D investment demonstrated by dedicated AI product leadership, CIO appointment for data governance, and the breadth of the AI product suite shipped across FY2026.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Co-founder CEO Bill Magnuson has led Braze for 15 years with a consistent purpose of 'forging connections between consumers and the brands they love,' and this mission has genuinely shaped product decisions — the platform explicitly prioritizes ethical engagement and first-party data over invasive tracking, differentiating Braze from ad-tech competitors [3]. The purpose survived the Appboy-to-Braze rebrand and multiple product pivots, demonstrating durability. Community Impact (1/2): The Braze for Social Impact Fund has surpassed $4.4M in charitable grants to 200+ nonprofits worldwide, the company was included in the Human Rights Campaign Corporate Equality Index, and published its fifth annual ESG report in July 2026 with SBTi-approved emissions reduction targets and maintained ISO 27001, SOC 2 Type 2, and HIPAA compliance [4]. These are genuine but modest community commitments. Employee Retention (1/2): Co-founder CEO provides leadership stability, and Braze's culture is rated in the Top 5% among similarly sized companies on Comparably. However, Glassdoor reviews reveal significant mixed signals — while some cite 'high performance culture with truly exceptional people,' others report that leadership 'churns through VPs and middle management at an alarming clip' and 'high achieving, competent people are seen as a threat' [3]. Insider Buying (0/2): Net insider selling across the C-suite — CRO McDonnell, CTO Hyman, CBO Malik, and General Counsel Wiseman all sold shares under 10b5-1 plans in 2026, totaling multiple transactions, with no offsetting open-market purchases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Braze's revenue growth is exceptional — Q1 FY2027 at 30.2% YoY and the 5-year revenue CAGR of approximately 33% both score maximum, and D/E of 14% is pristine with $387.5M cash against $81.5M debt providing a strong net cash position [1][6]. However, GAAP profitability remains negative — ROE of -22.81% and profit margin of -15.51% both score zero, reflecting the $122M net loss driven primarily by stock-based compensation that dilutes shareholders [1][6]. Non-GAAP net income was positive at $42M in FY2026 and growing, with FY2027 non-GAAP EPS guided at $0.63, confirming emerging operating leverage. The non-GAAP forward PE of ~46x ($29 stock / $0.63 EPS) is rich but below the 60 floor, scoring 0.35. FY2027 revenue guidance raised to $895-899M (from $884-889M) demonstrates management's confidence in accelerating growth. Liquidity floor easily cleared: ~$29 x 2.9M avg daily volume = ~$84M.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Braze under co-founder CEO Bill Magnuson demonstrates meaningful infinite game characteristics — 15 years of consistent purpose in humanizing brand-consumer connections, genuine existential flexibility in evolving from a mobile messaging tool to an AI-powered omnichannel platform, and community programs like Tech for an Equitable Future with $4.4M+ in grants [1][3][4]. The company invests in AI capabilities ahead of GAAP profitability, prioritizing long-term market position. However, mixed Glassdoor reviews about VP/management turnover and treatment of high-performers, net insider selling across the C-suite, and the $122M GAAP loss create uncertainty about whether long-term purpose can sustain the trust and conviction needed for truly infinite play.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Co-founder CEO Bill Magnuson has maintained a consistent 15-year vision of humanizing connections between consumers and brands through real-time, personalized engagement, and this purpose has shaped the evolution from Appboy mobile messaging to an AI-powered omnichannel platform [1][3]. The mission differentiates from ad-tech competitors by emphasizing ethical engagement and first-party data over invasive tracking. However, 'humanizing marketing technology' is ultimately a business optimization purpose rather than a cause that transcends commercial interests or describes a fundamentally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Braze's culture is rated in the Top 5% among similarly sized companies on Comparably, and positive Glassdoor reviews describe 'strong sense of connection,' 'leadership communicates a clear vision and invests in people,' and co-founders who are 'smart and down to earth' [3]. However, critical reviews reveal a troubling pattern: 'competent people at Braze are seen as a threat to leadership and eventually get fed up and leave,' and the company 'churns through VPs and middle management at an alarming clip,' with high performers 'forced to answer to managers that were hired over them for jobs they deserved.' This tension between cultural aspiration and execution suggests trust varies significantly by level and team.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Braze competes against Salesforce Marketing Cloud, Adobe Campaign, and Twilio/Segment, and CEO Magnuson positions the competition as an opportunity to demonstrate a better approach to customer engagement rather than a war to win [1][3]. The framing of 'AI is the Connection Catalyst' focuses on advancing Braze's own capabilities rather than degrading competitors, and the decision to partner with platforms like Google Cloud reflects mature competitive thinking that seeks self-improvement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Braze evolved from Appboy (a mobile push notification SDK) into a comprehensive omnichannel customer engagement platform and is now pivoting again into AI-powered autonomous marketing with BrazeAI Agent Console, Operator, and Creative Studio [2][3]. The appointment of CIO Nick Rockwell for data governance and AI transformation signals continued willingness to evolve. Each evolution was meaningful and driven by the cause of humanizing connections, but the shifts were incremental platform expansions rather than transformatively painful reinventions that challenged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Braze has demonstrated courage by continuing to invest heavily in AI product development and platform expansion despite $122M in GAAP losses, prioritizing long-term market position over short-term profitability pressures [1][2]. The Tech for an Equitable Future program ($4.4M+ to 200+ nonprofits) and ESG reporting amid investor pressure for profitability reflect values-driven leadership [4]. However, these investments are funded by public market capital rather than from a position of financial strength, and the net insider selling across the C-suite suggests executives are hedging personal risk rather than demonstrating full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Braze is executing one of the most compelling growth stories in enterprise SaaS — Q1 FY2027 revenue of $211M grew 30.2% YoY (accelerating from 24.4% in FY2026), FY2027 guidance was raised to $895-899M, and dollar-based net retention improved to 110% [1][2]. The AI product suite (BrazeAI Operator, Agent Console, Creative Studio) drove a 50%+ increase in quarterly bookings and is accelerating enterprise adoption, with 333 large customers at $500K+ ARR (up 29% YoY) [2][3]. The platform's first-party data infrastructure and compliance capabilities (ISO 27001, SOC 2, HIPAA) create meaningful switching costs in regulated industries. D/E of only 14% with $387.5M cash provides financial flexibility, and non-GAAP net income of $42M in FY2026 (guided to $0.63 EPS in FY2027) confirms emerging operating leverage. $1B+ RPO provides strong forward visibility.</w:t>
      </w:r>
    </w:p>
    <w:p>
      <w:pPr>
        <w:spacing w:after="120"/>
      </w:pPr>
      <w:r>
        <w:rPr>
          <w:rFonts w:ascii="Calibri" w:hAnsi="Calibri"/>
          <w:b w:val="0"/>
          <w:color w:val="3A4A28"/>
          <w:sz w:val="20"/>
        </w:rPr>
        <w:t>The primary concern is the path to GAAP profitability — the $122M net loss persists despite 30%+ revenue growth, largely driven by stock-based compensation that dilutes existing shareholders [1][6]. The non-GAAP forward PE of ~46x prices in meaningful expectations for sustained 20%+ revenue growth and margin expansion — any deceleration could trigger significant multiple compression. Competitive pressure from Salesforce Marketing Cloud and Adobe Experience Cloud, both deploying AI marketing suites with deeper resources and existing enterprise relationships, could erode Braze's differentiation if larger platforms match its AI capabilities [3]. Net insider selling across the C-suite (CRO, CTO, CBO, and General Counsel all selling in 2026) is a negative signal during a critical scaling phase [5]. Glassdoor reviews suggesting VP/management turnover and cultural tensions with high performers could constrain the talent acquisition and retention needed to execute the AI strategy.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accelerating from 24.4% (FY2026) to 30.2% (Q1 FY2027) as BrazeAI Operator and Agent Console drive higher customer spend — FY2027 guidance raised to $895-899M with improving net retention of 110%, suggesting sustained momentum [1][2]</w:t>
      </w:r>
    </w:p>
    <w:p>
      <w:pPr>
        <w:spacing w:before="40" w:after="40"/>
        <w:ind w:left="283"/>
      </w:pPr>
      <w:r>
        <w:rPr>
          <w:rFonts w:ascii="Calibri" w:hAnsi="Calibri"/>
          <w:b/>
          <w:color w:val="4A6B25"/>
          <w:sz w:val="20"/>
        </w:rPr>
        <w:t xml:space="preserve">2. </w:t>
      </w:r>
      <w:r>
        <w:rPr>
          <w:rFonts w:ascii="Calibri" w:hAnsi="Calibri"/>
          <w:b w:val="0"/>
          <w:color w:val="3A4A28"/>
          <w:sz w:val="20"/>
        </w:rPr>
        <w:t>Path to GAAP profitability as non-GAAP net income reaches $42M in FY2026 with $0.63 EPS guided for FY2027, potentially triggering a re-rating from loss-making to profitable-growth SaaS multiples as operating leverage improves with scale [1]</w:t>
      </w:r>
    </w:p>
    <w:p>
      <w:pPr>
        <w:spacing w:before="40" w:after="40"/>
        <w:ind w:left="283"/>
      </w:pPr>
      <w:r>
        <w:rPr>
          <w:rFonts w:ascii="Calibri" w:hAnsi="Calibri"/>
          <w:b/>
          <w:color w:val="4A6B25"/>
          <w:sz w:val="20"/>
        </w:rPr>
        <w:t xml:space="preserve">3. </w:t>
      </w:r>
      <w:r>
        <w:rPr>
          <w:rFonts w:ascii="Calibri" w:hAnsi="Calibri"/>
          <w:b w:val="0"/>
          <w:color w:val="3A4A28"/>
          <w:sz w:val="20"/>
        </w:rPr>
        <w:t>Enterprise penetration deepening with 333 customers at $500K+ ARR (up 29% YoY) and $1B+ remaining performance obligations, demonstrating that the platform is winning large, sticky deals in regulated industries where compliance and first-party data create competitive moats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net loss of $122M persists despite 30%+ revenue growth, with stock-based compensation delaying profitability and diluting existing shareholders — if the SBC ratio does not decline with scale, GAAP breakeven could remain years away [1][6]</w:t>
      </w:r>
    </w:p>
    <w:p>
      <w:pPr>
        <w:spacing w:before="40" w:after="40"/>
        <w:ind w:left="283"/>
      </w:pPr>
      <w:r>
        <w:rPr>
          <w:rFonts w:ascii="Calibri" w:hAnsi="Calibri"/>
          <w:b/>
          <w:color w:val="4A6B25"/>
          <w:sz w:val="20"/>
        </w:rPr>
        <w:t xml:space="preserve">2. </w:t>
      </w:r>
      <w:r>
        <w:rPr>
          <w:rFonts w:ascii="Calibri" w:hAnsi="Calibri"/>
          <w:b w:val="0"/>
          <w:color w:val="3A4A28"/>
          <w:sz w:val="20"/>
        </w:rPr>
        <w:t>Net insider selling across the C-suite (CRO, CTO, CBO, General Counsel all selling shares in 2026 under 10b5-1 plans) creates negative signaling during a critical growth phase, and Glassdoor reviews about VP/management churn could constrain talent retention [3][5]</w:t>
      </w:r>
    </w:p>
    <w:p>
      <w:pPr>
        <w:spacing w:before="40" w:after="40"/>
        <w:ind w:left="283"/>
      </w:pPr>
      <w:r>
        <w:rPr>
          <w:rFonts w:ascii="Calibri" w:hAnsi="Calibri"/>
          <w:b/>
          <w:color w:val="4A6B25"/>
          <w:sz w:val="20"/>
        </w:rPr>
        <w:t xml:space="preserve">3. </w:t>
      </w:r>
      <w:r>
        <w:rPr>
          <w:rFonts w:ascii="Calibri" w:hAnsi="Calibri"/>
          <w:b w:val="0"/>
          <w:color w:val="3A4A28"/>
          <w:sz w:val="20"/>
        </w:rPr>
        <w:t>Salesforce, Adobe, and AI-native marketing startups are aggressively deploying AI-powered engagement tools that could commoditize Braze's differentiators in real-time personalization and cross-channel orchestration, especially as AI capabilities proliferate and become table stakes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Braze's customer engagement platform sits at the intersection of first-party data infrastructure, real-time event processing, and cross-channel orchestration — a combination that requires deep enterprise integrations, compliance infrastructure (ISO 27001, SOC 2, HIPAA), and domain expertise that AI alone cannot replicate [1][4]. The platform's value lies not in content generation (which AI could commoditize) but in the data plumbing, workflow automation, and regulatory compliance surrounding it — enterprise switching costs from deep integrations provide a meaningful defensive moat. However, Salesforce and Adobe are deploying their own AI marketing suites with deeper resources, and AI-native competitors could emerge with simpler, more automated platforms that erode Braze's value proposition in the mid-market [3]. Analysts have flagged AI disruption risk in Braze's coverage, reflecting real uncertainty about whether specialized engagement platforms maintain pricing power as AI capabilities proliferate. AI Opportunity (1/1): Braze is one of the most AI-forward companies in martech — BrazeAI Operator, Agent Console, and Creative Studio are production-grade features that drove a 50%+ increase in quarterly bookings, and the AI product suite is generating measurable revenue impact through Enterprise Advanced tier upsells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Braze Q4 and Full-Year FY2026 Earnings Release — Revenue $738.2M (+24.4% YoY), Q4 Revenue $205M (+28%), $800M ARR, $1B+ RPO, Non-GAAP Net Income $42M — Braze Investor Relations, March 2026</w:t>
      </w:r>
    </w:p>
    <w:p>
      <w:pPr>
        <w:spacing w:before="20" w:after="20"/>
        <w:ind w:left="170"/>
      </w:pPr>
      <w:r>
        <w:rPr>
          <w:rFonts w:ascii="Calibri" w:hAnsi="Calibri"/>
          <w:b/>
          <w:color w:val="4A6B25"/>
          <w:sz w:val="15"/>
        </w:rPr>
        <w:t xml:space="preserve">2. </w:t>
      </w:r>
      <w:r>
        <w:rPr>
          <w:rFonts w:ascii="Calibri" w:hAnsi="Calibri"/>
          <w:b w:val="0"/>
          <w:color w:val="3A4A28"/>
          <w:sz w:val="17"/>
        </w:rPr>
        <w:t>Braze Q1 FY2027 Earnings Release — Revenue $211.0M (+30.2% YoY), FY2027 Guidance Raised to $895-899M, Net Retention 110%, 2,713 Customers — StockTitan, Braze Investor Relations, June 2026</w:t>
      </w:r>
    </w:p>
    <w:p>
      <w:pPr>
        <w:spacing w:before="20" w:after="20"/>
        <w:ind w:left="170"/>
      </w:pPr>
      <w:r>
        <w:rPr>
          <w:rFonts w:ascii="Calibri" w:hAnsi="Calibri"/>
          <w:b/>
          <w:color w:val="4A6B25"/>
          <w:sz w:val="15"/>
        </w:rPr>
        <w:t xml:space="preserve">3. </w:t>
      </w:r>
      <w:r>
        <w:rPr>
          <w:rFonts w:ascii="Calibri" w:hAnsi="Calibri"/>
          <w:b w:val="0"/>
          <w:color w:val="3A4A28"/>
          <w:sz w:val="17"/>
        </w:rPr>
        <w:t>Braze AI Product Suite, Leadership, and Culture — BrazeAI Operator, Agent Console, Creative Studio, CIO Appointment, Glassdoor Reviews (4.1/5), VP Turnover Concerns — CXOTalk, Built In, Glassdoor, Simply Wall St, 2025-2026</w:t>
      </w:r>
    </w:p>
    <w:p>
      <w:pPr>
        <w:spacing w:before="20" w:after="20"/>
        <w:ind w:left="170"/>
      </w:pPr>
      <w:r>
        <w:rPr>
          <w:rFonts w:ascii="Calibri" w:hAnsi="Calibri"/>
          <w:b/>
          <w:color w:val="4A6B25"/>
          <w:sz w:val="15"/>
        </w:rPr>
        <w:t xml:space="preserve">4. </w:t>
      </w:r>
      <w:r>
        <w:rPr>
          <w:rFonts w:ascii="Calibri" w:hAnsi="Calibri"/>
          <w:b w:val="0"/>
          <w:color w:val="3A4A28"/>
          <w:sz w:val="17"/>
        </w:rPr>
        <w:t>Braze 2026 ESG Report — $4.4M+ Social Impact Grants (200+ Nonprofits), SBTi Targets, ISO 27001, SOC 2 Type 2, HIPAA Compliance, HRC Corporate Equality Index — braze.com, July 2026</w:t>
      </w:r>
    </w:p>
    <w:p>
      <w:pPr>
        <w:spacing w:before="20" w:after="20"/>
        <w:ind w:left="170"/>
      </w:pPr>
      <w:r>
        <w:rPr>
          <w:rFonts w:ascii="Calibri" w:hAnsi="Calibri"/>
          <w:b/>
          <w:color w:val="4A6B25"/>
          <w:sz w:val="15"/>
        </w:rPr>
        <w:t xml:space="preserve">5. </w:t>
      </w:r>
      <w:r>
        <w:rPr>
          <w:rFonts w:ascii="Calibri" w:hAnsi="Calibri"/>
          <w:b w:val="0"/>
          <w:color w:val="3A4A28"/>
          <w:sz w:val="17"/>
        </w:rPr>
        <w:t>Braze Insider Transactions — CRO McDonnell, CTO Hyman, CBO Malik, General Counsel Wiseman All Selling Under 10b5-1 Plans (Multiple Transactions 2026), No Insider Buying — TipRanks, StockTitan, SEC Form 4,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BRZE Key Statistics: D/E 14%, ROE -22.81%, Profit Margin -15.51%, Market Cap $3.26B, Cash $387.5M, Revenue (TTM) $787M,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