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BR</w:t>
      </w:r>
      <w:r>
        <w:rPr>
          <w:rFonts w:ascii="Calibri" w:hAnsi="Calibri"/>
          <w:b/>
          <w:color w:val="1A2010"/>
          <w:sz w:val="40"/>
        </w:rPr>
        <w:t xml:space="preserve">  Broadridge Financial Solutions, Inc.</w:t>
      </w:r>
    </w:p>
    <w:p>
      <w:pPr>
        <w:spacing w:after="120"/>
      </w:pPr>
      <w:r>
        <w:rPr>
          <w:rFonts w:ascii="Calibri" w:hAnsi="Calibri"/>
          <w:b/>
          <w:color w:val="6E8450"/>
          <w:sz w:val="18"/>
        </w:rPr>
        <w:t>DIVIDEND SLEEVE · 2026-09-21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NYSE · United States</w:t>
      </w:r>
    </w:p>
    <w:p>
      <w:pPr>
        <w:spacing w:after="80"/>
      </w:pPr>
      <w:r>
        <w:rPr>
          <w:rFonts w:ascii="Calibri" w:hAnsi="Calibri"/>
          <w:b w:val="0"/>
          <w:color w:val="3A4A28"/>
          <w:sz w:val="20"/>
        </w:rPr>
        <w:t>Broadridge Financial Solutions is a global fintech leader providing investor communications (proxy processing, annual reports, prospectuses), securities processing, and data-driven technology solutions for banks, broker-dealers, asset managers, wealth managers, and corporate issuers. Spun off from ADP in 2007, the company processes over 80% of U.S. proxy communications, settles approximately $15 trillion in trades daily, and serves over 10,000 public companies. FY2026 (ended June 30) delivered total revenue of $7,477M (+9% YoY) with adjusted EPS of $9.60 (+12%). Market cap is approximately $18.6B.</w:t>
      </w:r>
    </w:p>
    <w:p>
      <w:r>
        <w:rPr>
          <w:rFonts w:ascii="Calibri" w:hAnsi="Calibri"/>
          <w:b/>
          <w:color w:val="6E8450"/>
          <w:sz w:val="18"/>
        </w:rPr>
        <w:t>16,000 Employees · https://www.broadridge.com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Broadridge executed the transformative $2.5B Itiviti acquisition in 2021, opening an entirely new capital markets trading technology revenue stream, and followed with the CQG acquisition in April 2026 further expanding trading capabilities [1]. The company also pioneered blockchain-based proxy voting via distributed ledger technology (DLT), adding next-generation infrastructure to its core communications platform. These represent significant strategic expansion beyond the legacy proxy business. AI Deployment (2/2): BondGPT, launched through subsidiary LTX, is a shipping generative AI product for corporate bond trading — the first of its kind in capital markets [2]. CEO Tim Gokey has committed to being 'a leader in AI' with 27 active AI initiatives across the company, acquired a minority stake in DeepSee (an agentic AI startup), and published a landmark GenAI study finding AI is 'delivering now' in financial services. Market Share (2/2): Near-monopoly in U.S. proxy communications, processing over 80% of all proxy distributions — a regulatory-mandated function with extreme switching costs and compliance liability [2]. Processes 7 billion regulatory communications annually for 10,000+ public companies. Product Pipeline (1/2): FY2027 guidance projects 6-8% recurring revenue growth and 8-12% adjusted EPS growth. New Chief Growth and Strategy Officer Allen Weinberg appointed March 2026 to accelerate pipeline conversion, though specific next-gen products with named launch dates beyond BondGPT expansion were not announced [1]. R&amp;D Intensity (1/1): Technology spending is core to Broadridge's identity with 16,000 employees, 27 active AI initiatives, DLT development, and continuous platform modernization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Broadridge's purpose — 'simplifying the complexities of the financial industry to enable better financial lives' — is clear and identifies the company's role, but is functionally descriptive rather than deeply aspirational [2]. It is interchangeable with dozens of fintech peers and does not articulate a transformative future state. Community Impact (1/2): Corporate sustainability programs including environmental footprint reduction and ESG reporting with Board-level oversight through the Governance and Nominating Committee [3]. Governor Hochul announced a $78M Broadridge investment to retain 2,200 jobs on Long Island and NYC, though this is business retention rather than philanthropic giving. Employee Retention (1/2): Named one of Ireland's Best Workplaces in Tech 2026 by Great Place to Work Ireland. CEO Gokey's 7.5-year tenure and stable executive leadership team (Chris Perry as president, Ashima Ghei as CFO, Tom Carey as CTO) reflect organizational stability [2]. However, no specific retention or turnover data is publicly available.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FY2026 full-year delivered $7,477M total revenue (+9% YoY) with adjusted EPS of $9.60 (+12% YoY), demonstrating consistent compounding [1]. ROE of 40.9% far exceeds the 15% target, reflecting efficient capital deployment. Forward P/E of 14.09 is well below the 20 target, suggesting attractive valuation. D/E of 123.9% is elevated but manageable given the recurring-revenue model with 98% revenue retention. Profit margin of 15.0% is below the 20% target, the primary drag on the Infrastructure score. Dividend metrics are strong: 20 consecutive years of payments and 18 consecutive years of growth since the 2007 ADP spinoff, 2.67% yield, 40.6% payout ratio near the 40% target, and ~10.7% 5-year dividend growth CAGR — nearly double the 6% target [4]. Revenue 5yr CAGR of ~8% approaches the 10% target. Liquidity floor cleared: 1.28M avg volume x $163.13 = $209M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Broadridge operates as a steady financial infrastructure utility with consistent purpose but limited transformative vision. Since the 2007 ADP spin-off, the company has maintained unwavering focus on powering capital markets infrastructure — a 19-year track record of purpose consistency that Sinek values highly. CEO Gokey's 7.5-year tenure reflects leadership stability. However, the company's strategic evolution has been incremental and acquisitive rather than cause-driven, and the absence of costly principle-driven bets prevents a higher rating.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Broadridge's purpose of simplifying the complexities of the financial industry has been consistent since the 2007 spin-off — 19 years of unwavering focus on financial infrastructure rather than chasing trendier fintech categories [2]. The purpose has shaped strategic decisions: staying in regulated infrastructure, investing in DLT for proxy voting, and building capital markets platforms rather than pivoting to consumer fintech. The Itiviti and CQG acquisitions extend this purpose rather than depart from it. However, the purpose is operational rather than idealistic — it describes what the company does well rather than a future state that inspires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Named Great Place to Work in Ireland 2026. CEO Gokey was promoted internally from COO, reflecting organizational trust in talent development [2]. The stable executive leadership team (Gokey 7.5 years as CEO, long-tenured presidents and CTO) creates organizational consistency. Allen Weinberg's appointment as Chief Growth Officer in March 2026 shows investment in leadership growth. However, 16,000 employees is a large organization and no specific turnover data, employee engagement scores, or cultural distinctiveness beyond standard corporate practices was identified.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Broadridge's near-monopoly position in proxy communications (80%+ market share) creates minimal competitive pressure, and strategic language emphasizes market dominance, platform consolidation, and infrastructure scale rather than learning from rivals' strengths [1]. The competitive narrative centers on extending the franchise through acquisitions (Itiviti, CQG) rather than improving through worthy competition.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Broadridge has evolved meaningfully since its 2007 ADP spinoff — expanding from pure proxy processing into trading technology ($2.5B Itiviti acquisition), capital markets infrastructure (CQG), wealth management platforms, blockchain-based DLT capabilities, and AI-powered tools (BondGPT) [1][2]. These moves represent genuine strategic evolution into adjacent markets. However, the core investor communications business remains the foundation, and the evolution has been incremental and acquisitive rather than a transformative pivot that abandoned a profitable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Gokey pursued the $2.5B Itiviti acquisition to transform Broadridge from a communications utility into a broader fintech platform, committed to AI leadership with 27 initiatives while many incumbent peers hesitated, and maintained pipeline investment even while adjusting near-term sales guidance [1][2]. The FY2027 guidance of 6-8% recurring growth and 8-12% EPS growth demonstrates disciplined long-term orientation. However, with 98% revenue retention, recurring revenue model, and regulatory moats, these investments carry limited relative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Broadridge delivers consistent, utility-like compounding backed by regulatory moats — FY2026 full-year revenue of $7,477M (+9% YoY) with adjusted EPS of $9.60 (+12%) and recurring revenues of $4,878M growing 8% demonstrate the durability of the franchise [1]. At 14.09x forward earnings with a 2.67% dividend yield, 18 consecutive years of dividend growth at a 10.7% CAGR, ROE of 40.9%, and near-monopoly proxy processing market share (80%+), BR offers compelling defensive value in a fintech compounder with embedded position growth tailwinds [4]. The company's 27 AI initiatives, BondGPT platform, and DeepSee partnership position it to capture AI-enabled revenue in capital markets, while FY2027 guidance of 6-8% recurring revenue growth and 8-12% EPS growth provides earnings visibility [2].</w:t>
      </w:r>
    </w:p>
    <w:p>
      <w:pPr>
        <w:spacing w:after="120"/>
      </w:pPr>
      <w:r>
        <w:rPr>
          <w:rFonts w:ascii="Calibri" w:hAnsi="Calibri"/>
          <w:b w:val="0"/>
          <w:color w:val="3A4A28"/>
          <w:sz w:val="20"/>
        </w:rPr>
        <w:t>The bear case centers on structural disruption risks that drove a significant share price decline: AI potentially eroding technology franchises (particularly in GTO, where recurring revenue growth lagged at 3%) and tokenized equities disintermediating the governance business [1]. While regulatory moats and compliance liability protect the core proxy franchise, the GTO segment's slower growth reveals vulnerability in the higher-growth technology services business. Profit margin of 15.0% lags the 20% Infrastructure target, and D/E of 123.9% with ~$3.5B total debt limits acquisition flexibility [4]. The Inspire Impact Score of -49 (MISALIGNED) may restrict allocation for faith-based investors. A MIXED Infinite Game score of 5 reflects a company built for durability through infrastructure dominance rather than purpose-driven leadership, with an operational mission that lacks the inspirational depth Sinek demands of true infinite players.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guidance of 6-8% recurring revenue growth and 8-12% adjusted EPS growth provides visible earnings acceleration path, with new Chief Growth Officer Allen Weinberg (appointed March 2026) focused on pipeline conversion and competitive differentiation [1][2]</w:t>
      </w:r>
    </w:p>
    <w:p>
      <w:pPr>
        <w:spacing w:before="40" w:after="40"/>
        <w:ind w:left="283"/>
      </w:pPr>
      <w:r>
        <w:rPr>
          <w:rFonts w:ascii="Calibri" w:hAnsi="Calibri"/>
          <w:b/>
          <w:color w:val="4A6B25"/>
          <w:sz w:val="20"/>
        </w:rPr>
        <w:t xml:space="preserve">2. </w:t>
      </w:r>
      <w:r>
        <w:rPr>
          <w:rFonts w:ascii="Calibri" w:hAnsi="Calibri"/>
          <w:b w:val="0"/>
          <w:color w:val="3A4A28"/>
          <w:sz w:val="20"/>
        </w:rPr>
        <w:t>BondGPT expansion and 27 AI initiatives could unlock material AI-enabled revenue contribution in capital markets technology, particularly as financial services firms accelerate AI adoption across trading and compliance workflows [2]</w:t>
      </w:r>
    </w:p>
    <w:p>
      <w:pPr>
        <w:spacing w:before="40" w:after="40"/>
        <w:ind w:left="283"/>
      </w:pPr>
      <w:r>
        <w:rPr>
          <w:rFonts w:ascii="Calibri" w:hAnsi="Calibri"/>
          <w:b/>
          <w:color w:val="4A6B25"/>
          <w:sz w:val="20"/>
        </w:rPr>
        <w:t xml:space="preserve">3. </w:t>
      </w:r>
      <w:r>
        <w:rPr>
          <w:rFonts w:ascii="Calibri" w:hAnsi="Calibri"/>
          <w:b w:val="0"/>
          <w:color w:val="3A4A28"/>
          <w:sz w:val="20"/>
        </w:rPr>
        <w:t>Forward P/E of 14.09x represents attractive valuation for a near-monopoly fintech franchise growing EPS 12% annually with 2.67% dividend yield — potential for multiple expansion if AI disruption fears prove overdone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disruption risk to GTO technology services — segment recurring revenue grew only 3% vs. 8% in ICS, and AI-native fintech competitors could erode pricing power in fund management and data processing services [1]</w:t>
      </w:r>
    </w:p>
    <w:p>
      <w:pPr>
        <w:spacing w:before="40" w:after="40"/>
        <w:ind w:left="283"/>
      </w:pPr>
      <w:r>
        <w:rPr>
          <w:rFonts w:ascii="Calibri" w:hAnsi="Calibri"/>
          <w:b/>
          <w:color w:val="4A6B25"/>
          <w:sz w:val="20"/>
        </w:rPr>
        <w:t xml:space="preserve">2. </w:t>
      </w:r>
      <w:r>
        <w:rPr>
          <w:rFonts w:ascii="Calibri" w:hAnsi="Calibri"/>
          <w:b w:val="0"/>
          <w:color w:val="3A4A28"/>
          <w:sz w:val="20"/>
        </w:rPr>
        <w:t>Tokenized equities could fundamentally alter the proxy communications chain if blockchain-native governance bypasses traditional intermediaries, despite current SEC regulatory protections requiring identical governance obligations [1]</w:t>
      </w:r>
    </w:p>
    <w:p>
      <w:pPr>
        <w:spacing w:before="40" w:after="40"/>
        <w:ind w:left="283"/>
      </w:pPr>
      <w:r>
        <w:rPr>
          <w:rFonts w:ascii="Calibri" w:hAnsi="Calibri"/>
          <w:b/>
          <w:color w:val="4A6B25"/>
          <w:sz w:val="20"/>
        </w:rPr>
        <w:t xml:space="preserve">3. </w:t>
      </w:r>
      <w:r>
        <w:rPr>
          <w:rFonts w:ascii="Calibri" w:hAnsi="Calibri"/>
          <w:b w:val="0"/>
          <w:color w:val="3A4A28"/>
          <w:sz w:val="20"/>
        </w:rPr>
        <w:t>Profit margin of 15.0% below the 20% target and D/E of 123.9% with $3.5B total debt constrain operating leverage and limit acquisition capacity for future growth investments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Broadridge's core proxy communications business is well-insulated from AI disruption due to SEC-mandated regulatory requirements, extreme switching costs, and compliance liability that prevents clients from internalizing these functions [2]. Processing 80%+ of U.S. proxy distributions involves deeply embedded multi-party regulatory workflows that AI cannot easily substitute. However, the GTO technology services segment faces meaningful AI exposure — fund management software and data processing could see margin pressure from AI-native competitors, and the segment's slower growth trajectory (3% recurring revenue growth in recent quarters vs. 8% in ICS) suggests some erosion may already be occurring [1]. Tokenized equities pose additional long-term disintermediation risk, though the SEC has affirmed tokenized securities carry identical governance obligations. AI Opportunity (1/1): BondGPT through LTX is a shipping generative AI product for corporate bond trading, generating measurable revenue. The 27 active AI initiatives and DeepSee agentic AI investment position Broadridge to capture AI-enabled revenue in capital markets technology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Broadridge FY2026 Full-Year Results — $7,477M Revenue (+9% YoY), Recurring Revenue $4,878M (+8%), Adjusted EPS $9.60 (+12%), FY2027 Guidance 6-8% Recurring Growth; Broadridge IR / Morningstar, August 4, 2026</w:t>
      </w:r>
    </w:p>
    <w:p>
      <w:pPr>
        <w:spacing w:before="20" w:after="20"/>
        <w:ind w:left="170"/>
      </w:pPr>
      <w:r>
        <w:rPr>
          <w:rFonts w:ascii="Calibri" w:hAnsi="Calibri"/>
          <w:b/>
          <w:color w:val="4A6B25"/>
          <w:sz w:val="15"/>
        </w:rPr>
        <w:t xml:space="preserve">2. </w:t>
      </w:r>
      <w:r>
        <w:rPr>
          <w:rFonts w:ascii="Calibri" w:hAnsi="Calibri"/>
          <w:b w:val="0"/>
          <w:color w:val="3A4A28"/>
          <w:sz w:val="17"/>
        </w:rPr>
        <w:t>Broadridge AI Strategy and Leadership — CEO Tim Gokey 'Leader in AI', 27 AI Initiatives, BondGPT/LTX, DeepSee Investment, Allen Weinberg Appointed Chief Growth Officer March 2026; broadridge.com, 2026</w:t>
      </w:r>
    </w:p>
    <w:p>
      <w:pPr>
        <w:spacing w:before="20" w:after="20"/>
        <w:ind w:left="170"/>
      </w:pPr>
      <w:r>
        <w:rPr>
          <w:rFonts w:ascii="Calibri" w:hAnsi="Calibri"/>
          <w:b/>
          <w:color w:val="4A6B25"/>
          <w:sz w:val="15"/>
        </w:rPr>
        <w:t xml:space="preserve">3. </w:t>
      </w:r>
      <w:r>
        <w:rPr>
          <w:rFonts w:ascii="Calibri" w:hAnsi="Calibri"/>
          <w:b w:val="0"/>
          <w:color w:val="3A4A28"/>
          <w:sz w:val="17"/>
        </w:rPr>
        <w:t>Broadridge ESG and Sustainability — Board-Level ESG Committee, Materiality Assessment, Cybersecurity and Privacy Priorities, Proxy Voting ESG Trends; SEC DEF 14A and broadridge.com,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BR Key Statistics: Stock Price $163.13, Forward P/E 14.09, ROE 40.92%, D/E 123.94%, Dividend Yield 2.67%, Avg Volume 1.28M, PEG 1.9,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